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E60ED" w14:paraId="4D99AF4D" w14:textId="77777777">
      <w:pPr>
        <w:jc w:val="center"/>
        <w:rPr>
          <w:b/>
        </w:rPr>
      </w:pPr>
      <w:r w:rsidRPr="0070224F">
        <w:rPr>
          <w:rFonts w:ascii="Times New Roman Bold" w:hAnsi="Times New Roman Bold"/>
          <w:b/>
          <w:kern w:val="0"/>
          <w:szCs w:val="22"/>
        </w:rPr>
        <w:t>Before</w:t>
      </w:r>
      <w:r>
        <w:rPr>
          <w:b/>
        </w:rPr>
        <w:t xml:space="preserve"> the</w:t>
      </w:r>
    </w:p>
    <w:p w:rsidR="00921803" w:rsidP="002E60ED" w14:paraId="1BE6ED00" w14:textId="77777777">
      <w:pPr>
        <w:pStyle w:val="StyleBoldCentered"/>
      </w:pPr>
      <w:r>
        <w:t>F</w:t>
      </w:r>
      <w:r>
        <w:rPr>
          <w:caps w:val="0"/>
        </w:rPr>
        <w:t>ederal Communications Commission</w:t>
      </w:r>
    </w:p>
    <w:p w:rsidR="004C2EE3" w:rsidP="002E60ED" w14:paraId="051ECC2E" w14:textId="77777777">
      <w:pPr>
        <w:pStyle w:val="StyleBoldCentered"/>
      </w:pPr>
      <w:r>
        <w:rPr>
          <w:caps w:val="0"/>
        </w:rPr>
        <w:t>Washington, D.C. 20554</w:t>
      </w:r>
    </w:p>
    <w:p w:rsidR="004C2EE3" w:rsidP="002E60ED" w14:paraId="4FE58319" w14:textId="77777777"/>
    <w:tbl>
      <w:tblPr>
        <w:tblW w:w="0" w:type="auto"/>
        <w:tblLayout w:type="fixed"/>
        <w:tblLook w:val="0000"/>
      </w:tblPr>
      <w:tblGrid>
        <w:gridCol w:w="4698"/>
        <w:gridCol w:w="630"/>
        <w:gridCol w:w="4248"/>
      </w:tblGrid>
      <w:tr w14:paraId="2631FD83" w14:textId="77777777">
        <w:tblPrEx>
          <w:tblW w:w="0" w:type="auto"/>
          <w:tblLayout w:type="fixed"/>
          <w:tblLook w:val="0000"/>
        </w:tblPrEx>
        <w:tc>
          <w:tcPr>
            <w:tcW w:w="4698" w:type="dxa"/>
          </w:tcPr>
          <w:p w:rsidR="004C2EE3" w:rsidP="002E60ED" w14:paraId="32E3492C" w14:textId="77777777">
            <w:pPr>
              <w:tabs>
                <w:tab w:val="center" w:pos="4680"/>
              </w:tabs>
              <w:rPr>
                <w:spacing w:val="-2"/>
              </w:rPr>
            </w:pPr>
            <w:r>
              <w:rPr>
                <w:spacing w:val="-2"/>
              </w:rPr>
              <w:t>In the Matter of</w:t>
            </w:r>
          </w:p>
          <w:p w:rsidR="004C2EE3" w:rsidP="002E60ED" w14:paraId="547AF6D3" w14:textId="77777777">
            <w:pPr>
              <w:tabs>
                <w:tab w:val="center" w:pos="4680"/>
              </w:tabs>
              <w:rPr>
                <w:spacing w:val="-2"/>
              </w:rPr>
            </w:pPr>
          </w:p>
          <w:p w:rsidR="004C2EE3" w:rsidRPr="007115F7" w:rsidP="002E60ED" w14:paraId="0C5BCE54" w14:textId="39FF1299">
            <w:pPr>
              <w:tabs>
                <w:tab w:val="center" w:pos="4680"/>
              </w:tabs>
              <w:rPr>
                <w:spacing w:val="-2"/>
              </w:rPr>
            </w:pPr>
            <w:r>
              <w:rPr>
                <w:spacing w:val="-2"/>
              </w:rPr>
              <w:t>Updating Broadcast Radio Technical Rules</w:t>
            </w:r>
          </w:p>
        </w:tc>
        <w:tc>
          <w:tcPr>
            <w:tcW w:w="630" w:type="dxa"/>
          </w:tcPr>
          <w:p w:rsidR="004C2EE3" w:rsidP="002E60ED" w14:paraId="39071F8B" w14:textId="77777777">
            <w:pPr>
              <w:tabs>
                <w:tab w:val="center" w:pos="4680"/>
              </w:tabs>
              <w:rPr>
                <w:b/>
                <w:spacing w:val="-2"/>
              </w:rPr>
            </w:pPr>
            <w:r>
              <w:rPr>
                <w:b/>
                <w:spacing w:val="-2"/>
              </w:rPr>
              <w:t>)</w:t>
            </w:r>
          </w:p>
          <w:p w:rsidR="004C2EE3" w:rsidP="002E60ED" w14:paraId="6151E5B8" w14:textId="77777777">
            <w:pPr>
              <w:tabs>
                <w:tab w:val="center" w:pos="4680"/>
              </w:tabs>
              <w:rPr>
                <w:b/>
                <w:spacing w:val="-2"/>
              </w:rPr>
            </w:pPr>
            <w:r>
              <w:rPr>
                <w:b/>
                <w:spacing w:val="-2"/>
              </w:rPr>
              <w:t>)</w:t>
            </w:r>
          </w:p>
          <w:p w:rsidR="004C2EE3" w:rsidP="002E60ED" w14:paraId="1DE6B5F6" w14:textId="77777777">
            <w:pPr>
              <w:tabs>
                <w:tab w:val="center" w:pos="4680"/>
              </w:tabs>
              <w:rPr>
                <w:b/>
                <w:spacing w:val="-2"/>
              </w:rPr>
            </w:pPr>
            <w:r>
              <w:rPr>
                <w:b/>
                <w:spacing w:val="-2"/>
              </w:rPr>
              <w:t>)</w:t>
            </w:r>
          </w:p>
          <w:p w:rsidR="004C2EE3" w:rsidRPr="00A87BB7" w:rsidP="002E60ED" w14:paraId="1DA7B041" w14:textId="64386A1D">
            <w:pPr>
              <w:tabs>
                <w:tab w:val="center" w:pos="4680"/>
              </w:tabs>
              <w:rPr>
                <w:b/>
                <w:spacing w:val="-2"/>
              </w:rPr>
            </w:pPr>
            <w:r>
              <w:rPr>
                <w:b/>
                <w:spacing w:val="-2"/>
              </w:rPr>
              <w:t>)</w:t>
            </w:r>
          </w:p>
        </w:tc>
        <w:tc>
          <w:tcPr>
            <w:tcW w:w="4248" w:type="dxa"/>
          </w:tcPr>
          <w:p w:rsidR="004C2EE3" w:rsidP="002E60ED" w14:paraId="452162BD" w14:textId="77777777">
            <w:pPr>
              <w:tabs>
                <w:tab w:val="center" w:pos="4680"/>
              </w:tabs>
              <w:rPr>
                <w:spacing w:val="-2"/>
              </w:rPr>
            </w:pPr>
          </w:p>
          <w:p w:rsidR="004C2EE3" w:rsidP="002E60ED" w14:paraId="2CD5BE2F" w14:textId="77777777">
            <w:pPr>
              <w:pStyle w:val="TOAHeading"/>
              <w:tabs>
                <w:tab w:val="center" w:pos="4680"/>
                <w:tab w:val="clear" w:pos="9360"/>
              </w:tabs>
              <w:suppressAutoHyphens w:val="0"/>
              <w:rPr>
                <w:spacing w:val="-2"/>
              </w:rPr>
            </w:pPr>
          </w:p>
          <w:p w:rsidR="004C2EE3" w:rsidP="0034763F" w14:paraId="1EEDDC88" w14:textId="144DF633">
            <w:pPr>
              <w:pStyle w:val="TOAHeading"/>
              <w:tabs>
                <w:tab w:val="center" w:pos="4680"/>
              </w:tabs>
              <w:rPr>
                <w:spacing w:val="-2"/>
              </w:rPr>
            </w:pPr>
            <w:r w:rsidRPr="002E60ED">
              <w:rPr>
                <w:spacing w:val="-2"/>
              </w:rPr>
              <w:t xml:space="preserve">MB Docket No. </w:t>
            </w:r>
            <w:r w:rsidR="0034763F">
              <w:rPr>
                <w:spacing w:val="-2"/>
              </w:rPr>
              <w:t>21-26</w:t>
            </w:r>
            <w:r w:rsidR="00965666">
              <w:rPr>
                <w:spacing w:val="-2"/>
              </w:rPr>
              <w:t>3</w:t>
            </w:r>
          </w:p>
        </w:tc>
      </w:tr>
    </w:tbl>
    <w:p w:rsidR="004C2EE3" w:rsidP="002E60ED" w14:paraId="66D75597" w14:textId="77777777"/>
    <w:p w:rsidR="00841AB1" w:rsidP="002E60ED" w14:paraId="6DFB7B3D" w14:textId="72112333">
      <w:pPr>
        <w:pStyle w:val="StyleBoldCentered"/>
      </w:pPr>
      <w:r>
        <w:t>Report and order</w:t>
      </w:r>
    </w:p>
    <w:p w:rsidR="004C2EE3" w:rsidP="002E60ED" w14:paraId="63B3B6E3" w14:textId="77777777">
      <w:pPr>
        <w:tabs>
          <w:tab w:val="left" w:pos="-720"/>
        </w:tabs>
        <w:spacing w:line="227" w:lineRule="auto"/>
        <w:rPr>
          <w:spacing w:val="-2"/>
        </w:rPr>
      </w:pPr>
    </w:p>
    <w:p w:rsidR="004C2EE3" w:rsidP="002E60ED" w14:paraId="007C19AE" w14:textId="21BA8034">
      <w:pPr>
        <w:tabs>
          <w:tab w:val="left" w:pos="720"/>
          <w:tab w:val="right" w:pos="9360"/>
        </w:tabs>
        <w:spacing w:line="227" w:lineRule="auto"/>
        <w:rPr>
          <w:spacing w:val="-2"/>
        </w:rPr>
      </w:pPr>
      <w:r>
        <w:rPr>
          <w:b/>
          <w:spacing w:val="-2"/>
        </w:rPr>
        <w:t xml:space="preserve">Adopted:  </w:t>
      </w:r>
      <w:r w:rsidR="004E1024">
        <w:rPr>
          <w:b/>
          <w:spacing w:val="-2"/>
        </w:rPr>
        <w:t>February 16,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1024">
        <w:rPr>
          <w:b/>
          <w:spacing w:val="-2"/>
        </w:rPr>
        <w:t>February 17, 2022</w:t>
      </w:r>
    </w:p>
    <w:p w:rsidR="00822CE0" w:rsidP="002E60ED" w14:paraId="33F1DB50" w14:textId="77777777"/>
    <w:p w:rsidR="004C2EE3" w:rsidP="002E60ED" w14:paraId="60776141" w14:textId="3ABDA0B1">
      <w:pPr>
        <w:rPr>
          <w:spacing w:val="-2"/>
        </w:rPr>
      </w:pPr>
      <w:r>
        <w:t xml:space="preserve">By </w:t>
      </w:r>
      <w:r w:rsidR="004E4A22">
        <w:t>the</w:t>
      </w:r>
      <w:r w:rsidR="002A2D2E">
        <w:t xml:space="preserve"> </w:t>
      </w:r>
      <w:r w:rsidR="00A87BB7">
        <w:rPr>
          <w:spacing w:val="-2"/>
        </w:rPr>
        <w:t>Commission</w:t>
      </w:r>
      <w:r>
        <w:rPr>
          <w:spacing w:val="-2"/>
        </w:rPr>
        <w:t>:</w:t>
      </w:r>
      <w:r w:rsidR="00A87BB7">
        <w:rPr>
          <w:spacing w:val="-2"/>
        </w:rPr>
        <w:t xml:space="preserve">  </w:t>
      </w:r>
    </w:p>
    <w:p w:rsidR="00822CE0" w:rsidP="002E60ED" w14:paraId="5EDAF41C" w14:textId="77777777">
      <w:pPr>
        <w:rPr>
          <w:spacing w:val="-2"/>
        </w:rPr>
      </w:pPr>
    </w:p>
    <w:p w:rsidR="00A87BB7" w:rsidP="002E60ED" w14:paraId="762E22E6" w14:textId="12E313DE">
      <w:pPr>
        <w:pStyle w:val="Heading1"/>
        <w:keepNext w:val="0"/>
        <w:suppressAutoHyphens w:val="0"/>
      </w:pPr>
      <w:bookmarkStart w:id="0" w:name="_Toc54785825"/>
      <w:r>
        <w:t>introduction</w:t>
      </w:r>
      <w:bookmarkEnd w:id="0"/>
    </w:p>
    <w:p w:rsidR="00A87BB7" w:rsidRPr="00ED3237" w:rsidP="002E60ED" w14:paraId="6755D896" w14:textId="53D25D33">
      <w:pPr>
        <w:pStyle w:val="ParaNum"/>
      </w:pPr>
      <w:r w:rsidRPr="00B92312">
        <w:t xml:space="preserve">In this </w:t>
      </w:r>
      <w:r w:rsidRPr="00B92312">
        <w:rPr>
          <w:i/>
        </w:rPr>
        <w:t>Report and Order</w:t>
      </w:r>
      <w:r w:rsidRPr="00B92312">
        <w:t xml:space="preserve">, we </w:t>
      </w:r>
      <w:r w:rsidR="00510C75">
        <w:t xml:space="preserve">update the Commission’s rules by eliminating or amending </w:t>
      </w:r>
      <w:r w:rsidR="00B733B6">
        <w:t xml:space="preserve">outdated </w:t>
      </w:r>
      <w:r w:rsidR="002B17EA">
        <w:t>or</w:t>
      </w:r>
      <w:r w:rsidR="00510C75">
        <w:t xml:space="preserve"> unnecessary</w:t>
      </w:r>
      <w:r w:rsidR="008B1EE9">
        <w:t xml:space="preserve"> broadcast radio</w:t>
      </w:r>
      <w:r w:rsidR="00510C75">
        <w:t xml:space="preserve"> regulations contained in the Code of Federal Regulations (CFR).</w:t>
      </w:r>
      <w:r w:rsidRPr="00B92312">
        <w:t xml:space="preserve">  </w:t>
      </w:r>
      <w:r w:rsidR="00C3503F">
        <w:t>The</w:t>
      </w:r>
      <w:r w:rsidR="000515AB">
        <w:t xml:space="preserve"> revisions</w:t>
      </w:r>
      <w:r w:rsidR="00FC52FF">
        <w:t xml:space="preserve"> we adopt herein</w:t>
      </w:r>
      <w:r w:rsidR="000515AB">
        <w:t xml:space="preserve"> </w:t>
      </w:r>
      <w:r w:rsidR="00510C75">
        <w:t xml:space="preserve">better reflect </w:t>
      </w:r>
      <w:r w:rsidR="008B1EE9">
        <w:t xml:space="preserve">current developments in the radio industry </w:t>
      </w:r>
      <w:r w:rsidR="00510C75">
        <w:t xml:space="preserve">and </w:t>
      </w:r>
      <w:r w:rsidR="00B733B6">
        <w:t xml:space="preserve">ensure that </w:t>
      </w:r>
      <w:r w:rsidR="00EF20AD">
        <w:t xml:space="preserve">our </w:t>
      </w:r>
      <w:r w:rsidR="00510C75">
        <w:t xml:space="preserve">technical </w:t>
      </w:r>
      <w:r w:rsidR="00FC52FF">
        <w:t>rules</w:t>
      </w:r>
      <w:r w:rsidR="00510C75">
        <w:t xml:space="preserve"> are </w:t>
      </w:r>
      <w:r w:rsidR="000515AB">
        <w:t>accurate</w:t>
      </w:r>
      <w:r w:rsidR="002B17EA">
        <w:t>,</w:t>
      </w:r>
      <w:r w:rsidR="00B733B6">
        <w:t xml:space="preserve"> up-to-date</w:t>
      </w:r>
      <w:r w:rsidR="002B17EA">
        <w:t>, and consistent</w:t>
      </w:r>
      <w:r w:rsidR="008B1EE9">
        <w:t xml:space="preserve">.  In so doing, we </w:t>
      </w:r>
      <w:r w:rsidR="002B17EA">
        <w:t>increas</w:t>
      </w:r>
      <w:r w:rsidR="008B1EE9">
        <w:t>e</w:t>
      </w:r>
      <w:r w:rsidR="002B17EA">
        <w:t xml:space="preserve"> transparency and certainty for broadcasters while </w:t>
      </w:r>
      <w:r w:rsidR="00510C75">
        <w:t>eliminat</w:t>
      </w:r>
      <w:r w:rsidR="002B17EA">
        <w:t>ing</w:t>
      </w:r>
      <w:r w:rsidR="00510C75">
        <w:t xml:space="preserve"> unnecessary </w:t>
      </w:r>
      <w:r w:rsidR="002B17EA">
        <w:t xml:space="preserve">regulatory </w:t>
      </w:r>
      <w:r w:rsidR="00510C75">
        <w:t>burdens.</w:t>
      </w:r>
      <w:r w:rsidRPr="00ED3237">
        <w:t xml:space="preserve">    </w:t>
      </w:r>
    </w:p>
    <w:p w:rsidR="00A87BB7" w:rsidRPr="00FF75C4" w:rsidP="002E60ED" w14:paraId="6362CDAE" w14:textId="77777777">
      <w:pPr>
        <w:pStyle w:val="Heading1"/>
        <w:keepNext w:val="0"/>
        <w:suppressAutoHyphens w:val="0"/>
      </w:pPr>
      <w:bookmarkStart w:id="1" w:name="_Toc50566007"/>
      <w:bookmarkStart w:id="2" w:name="_Toc52786408"/>
      <w:bookmarkStart w:id="3" w:name="_Toc54785826"/>
      <w:r w:rsidRPr="00FF75C4">
        <w:t>Background</w:t>
      </w:r>
      <w:bookmarkEnd w:id="1"/>
      <w:bookmarkEnd w:id="2"/>
      <w:bookmarkEnd w:id="3"/>
    </w:p>
    <w:p w:rsidR="00A87BB7" w:rsidP="00253246" w14:paraId="321C8F54" w14:textId="1E8C78F2">
      <w:pPr>
        <w:pStyle w:val="ParaNum"/>
        <w:widowControl/>
      </w:pPr>
      <w:r>
        <w:t>Th</w:t>
      </w:r>
      <w:r w:rsidR="00C3503F">
        <w:t>e Commission initiated this pr</w:t>
      </w:r>
      <w:r>
        <w:t>oceeding</w:t>
      </w:r>
      <w:r w:rsidR="00C3503F">
        <w:t xml:space="preserve"> to</w:t>
      </w:r>
      <w:r>
        <w:t xml:space="preserve"> </w:t>
      </w:r>
      <w:r w:rsidR="000C496B">
        <w:t xml:space="preserve">address </w:t>
      </w:r>
      <w:r w:rsidR="00C3503F">
        <w:t>outdated and</w:t>
      </w:r>
      <w:r>
        <w:t xml:space="preserve"> unnecessary</w:t>
      </w:r>
      <w:r w:rsidR="00C3503F">
        <w:t xml:space="preserve"> </w:t>
      </w:r>
      <w:r w:rsidR="00FC52FF">
        <w:t>rule provisions</w:t>
      </w:r>
      <w:r w:rsidR="000A3BA3">
        <w:t xml:space="preserve"> in the broadcast radio service</w:t>
      </w:r>
      <w:r>
        <w:t>.</w:t>
      </w:r>
      <w:r>
        <w:rPr>
          <w:rStyle w:val="FootnoteReference"/>
        </w:rPr>
        <w:footnoteReference w:id="3"/>
      </w:r>
      <w:r>
        <w:t xml:space="preserve">  Specifically, in the </w:t>
      </w:r>
      <w:r>
        <w:rPr>
          <w:i/>
          <w:iCs/>
        </w:rPr>
        <w:t>NPRM</w:t>
      </w:r>
      <w:r>
        <w:t xml:space="preserve">, we proposed the following rule changes: </w:t>
      </w:r>
      <w:r w:rsidRPr="00510C75">
        <w:t>(1) eliminat</w:t>
      </w:r>
      <w:r w:rsidR="00C3503F">
        <w:t>ing</w:t>
      </w:r>
      <w:r w:rsidRPr="00510C75">
        <w:t xml:space="preserve"> the maximum rated transmitter power limit rule for AM stations set out in section 73.1665(b) of the rules;</w:t>
      </w:r>
      <w:r>
        <w:rPr>
          <w:vertAlign w:val="superscript"/>
        </w:rPr>
        <w:footnoteReference w:id="4"/>
      </w:r>
      <w:r w:rsidRPr="00510C75">
        <w:t xml:space="preserve"> (2) updat</w:t>
      </w:r>
      <w:r w:rsidR="00C3503F">
        <w:t>ing</w:t>
      </w:r>
      <w:r w:rsidRPr="00510C75">
        <w:t xml:space="preserve"> the </w:t>
      </w:r>
      <w:r w:rsidR="00D220A7">
        <w:t>noncommercial educational (</w:t>
      </w:r>
      <w:r w:rsidRPr="00510C75">
        <w:t>NCE</w:t>
      </w:r>
      <w:r w:rsidR="00D220A7">
        <w:t>)</w:t>
      </w:r>
      <w:r w:rsidRPr="00510C75">
        <w:t xml:space="preserve"> FM community of license coverage requirement set out in sections 73.316(c)(2)(ix)(B) and 73.1690(c)(8)(i) to match that used in section 73.515;</w:t>
      </w:r>
      <w:r>
        <w:rPr>
          <w:vertAlign w:val="superscript"/>
        </w:rPr>
        <w:footnoteReference w:id="5"/>
      </w:r>
      <w:r w:rsidRPr="00510C75">
        <w:t xml:space="preserve"> (3) </w:t>
      </w:r>
      <w:bookmarkStart w:id="4" w:name="_Hlk74308502"/>
      <w:r w:rsidRPr="00510C75">
        <w:t>eliminat</w:t>
      </w:r>
      <w:r w:rsidR="00C3503F">
        <w:t>ing</w:t>
      </w:r>
      <w:r w:rsidRPr="00510C75">
        <w:t xml:space="preserve"> the requirement that applicants demonstrate the effect of their FM transmitting antenna on nearby FM or TV broadcast antennas, set out in section 73.316(d)</w:t>
      </w:r>
      <w:bookmarkEnd w:id="4"/>
      <w:r w:rsidRPr="00510C75">
        <w:t>;</w:t>
      </w:r>
      <w:r>
        <w:rPr>
          <w:vertAlign w:val="superscript"/>
        </w:rPr>
        <w:footnoteReference w:id="6"/>
      </w:r>
      <w:r w:rsidRPr="00510C75">
        <w:t xml:space="preserve"> (4) updat</w:t>
      </w:r>
      <w:r w:rsidR="00C3503F">
        <w:t>ing</w:t>
      </w:r>
      <w:r w:rsidRPr="00510C75">
        <w:t xml:space="preserve"> the signal strength contour overlap requirements for NCE FM Class D stations set out in section 73.509(b) to harmonize with the contour overlap requirements for all other NCE FM stations, set out in section 73.509(a);</w:t>
      </w:r>
      <w:r>
        <w:rPr>
          <w:vertAlign w:val="superscript"/>
        </w:rPr>
        <w:footnoteReference w:id="7"/>
      </w:r>
      <w:r w:rsidRPr="00510C75">
        <w:t xml:space="preserve"> (5) eliminat</w:t>
      </w:r>
      <w:r w:rsidR="00C3503F">
        <w:t>ing</w:t>
      </w:r>
      <w:r w:rsidRPr="00510C75">
        <w:t xml:space="preserve"> the requirement for broadcast services to protect grandfathered common carrier services in Alaska operating in the 76-100 MHz frequency band</w:t>
      </w:r>
      <w:r w:rsidR="00EC7BAA">
        <w:t>,</w:t>
      </w:r>
      <w:r w:rsidRPr="00510C75">
        <w:t xml:space="preserve"> set out in sections </w:t>
      </w:r>
      <w:bookmarkStart w:id="5" w:name="_Hlk72832044"/>
      <w:r w:rsidRPr="00510C75">
        <w:t>73.501(b), 74.1202(b)(3), 74.702(a)(1), and 74.786(b)</w:t>
      </w:r>
      <w:bookmarkEnd w:id="5"/>
      <w:r w:rsidRPr="00510C75">
        <w:t>;</w:t>
      </w:r>
      <w:r>
        <w:rPr>
          <w:vertAlign w:val="superscript"/>
        </w:rPr>
        <w:footnoteReference w:id="8"/>
      </w:r>
      <w:r w:rsidRPr="00510C75">
        <w:t xml:space="preserve"> (6) amend</w:t>
      </w:r>
      <w:r w:rsidR="00C3503F">
        <w:t>ing</w:t>
      </w:r>
      <w:r w:rsidRPr="00510C75">
        <w:t xml:space="preserve"> the definition of an “AM fill-in area” set out in section 74.1201(j) to conform to section 74.1201(g);</w:t>
      </w:r>
      <w:r>
        <w:rPr>
          <w:vertAlign w:val="superscript"/>
        </w:rPr>
        <w:footnoteReference w:id="9"/>
      </w:r>
      <w:r w:rsidRPr="00510C75">
        <w:t xml:space="preserve"> and (7) amend</w:t>
      </w:r>
      <w:r w:rsidR="00C3503F">
        <w:t>ing</w:t>
      </w:r>
      <w:r w:rsidRPr="00510C75">
        <w:t xml:space="preserve"> allocation and power limitations for broadcast stations within 320 kilometers of the Mexican and Canadian borders, set </w:t>
      </w:r>
      <w:r w:rsidRPr="00510C75">
        <w:t>out in sections 73.207(b) and 74.1235(d), to</w:t>
      </w:r>
      <w:r w:rsidR="00E57B9B">
        <w:t xml:space="preserve"> eliminate conflicting </w:t>
      </w:r>
      <w:r w:rsidR="00420BFE">
        <w:t>provisions and</w:t>
      </w:r>
      <w:r w:rsidRPr="00510C75">
        <w:t xml:space="preserve"> comply with current treaty </w:t>
      </w:r>
      <w:r w:rsidR="007E5C51">
        <w:t>requirements</w:t>
      </w:r>
      <w:r w:rsidRPr="00510C75">
        <w:t>.</w:t>
      </w:r>
      <w:r>
        <w:rPr>
          <w:vertAlign w:val="superscript"/>
        </w:rPr>
        <w:footnoteReference w:id="10"/>
      </w:r>
    </w:p>
    <w:p w:rsidR="00780FD1" w:rsidRPr="00F7783F" w:rsidP="00780FD1" w14:paraId="74140B11" w14:textId="587596B5">
      <w:pPr>
        <w:pStyle w:val="ParaNum"/>
      </w:pPr>
      <w:r>
        <w:t xml:space="preserve">Commenters in this proceeding overwhelmingly supported the proposed changes, </w:t>
      </w:r>
      <w:r w:rsidR="009936BF">
        <w:t>with the exception</w:t>
      </w:r>
      <w:r>
        <w:t xml:space="preserve"> that NAB object</w:t>
      </w:r>
      <w:r w:rsidR="00FC52FF">
        <w:t>s</w:t>
      </w:r>
      <w:r>
        <w:t xml:space="preserve"> to the proposed elimination of the proximate interference rule set out in section 73.316(d)</w:t>
      </w:r>
      <w:r w:rsidR="002B17EA">
        <w:t>, as discussed below</w:t>
      </w:r>
      <w:r>
        <w:t>.</w:t>
      </w:r>
      <w:r>
        <w:rPr>
          <w:rStyle w:val="FootnoteReference"/>
        </w:rPr>
        <w:footnoteReference w:id="11"/>
      </w:r>
    </w:p>
    <w:p w:rsidR="00A87BB7" w:rsidRPr="00FF75C4" w:rsidP="002E60ED" w14:paraId="0CB35413" w14:textId="77777777">
      <w:pPr>
        <w:pStyle w:val="Heading1"/>
        <w:keepNext w:val="0"/>
        <w:suppressAutoHyphens w:val="0"/>
      </w:pPr>
      <w:bookmarkStart w:id="6" w:name="_Toc52786409"/>
      <w:bookmarkStart w:id="7" w:name="_Toc54785827"/>
      <w:r>
        <w:t>Discussion</w:t>
      </w:r>
      <w:bookmarkEnd w:id="6"/>
      <w:bookmarkEnd w:id="7"/>
      <w:r>
        <w:t xml:space="preserve"> </w:t>
      </w:r>
    </w:p>
    <w:p w:rsidR="007F5D6A" w:rsidP="007F5D6A" w14:paraId="5235B3DF" w14:textId="09EC2B6C">
      <w:pPr>
        <w:pStyle w:val="ParaNum"/>
        <w:keepNext/>
        <w:keepLines/>
      </w:pPr>
      <w:bookmarkStart w:id="8" w:name="_Hlk72486263"/>
      <w:r>
        <w:t xml:space="preserve">As discussed individually below, we adopt all of the proposals set out in the </w:t>
      </w:r>
      <w:r>
        <w:rPr>
          <w:i/>
          <w:iCs/>
        </w:rPr>
        <w:t>NPRM</w:t>
      </w:r>
      <w:r>
        <w:t xml:space="preserve"> except that we retain the proximate interference rule set out in section 73.316(d). </w:t>
      </w:r>
    </w:p>
    <w:p w:rsidR="00F12892" w:rsidP="00253246" w14:paraId="1FC830C4" w14:textId="364362E5">
      <w:pPr>
        <w:pStyle w:val="Heading2"/>
      </w:pPr>
      <w:r>
        <w:t>Maximum Rated Transmitter Power for AM Stations</w:t>
      </w:r>
    </w:p>
    <w:bookmarkEnd w:id="8"/>
    <w:p w:rsidR="00F12892" w:rsidRPr="00C05F71" w:rsidP="00F12892" w14:paraId="5E038094" w14:textId="73CB10AA">
      <w:pPr>
        <w:pStyle w:val="ParaNum"/>
        <w:keepNext/>
        <w:keepLines/>
      </w:pPr>
      <w:r w:rsidRPr="006023C2">
        <w:t xml:space="preserve">We adopt the proposal in the </w:t>
      </w:r>
      <w:r w:rsidRPr="002650C2">
        <w:rPr>
          <w:i/>
          <w:iCs/>
        </w:rPr>
        <w:t xml:space="preserve">NPRM </w:t>
      </w:r>
      <w:r w:rsidR="002650C2">
        <w:t>to amend section 73.1665(b) to remove the maximum rated transmitter power</w:t>
      </w:r>
      <w:r>
        <w:rPr>
          <w:rStyle w:val="FootnoteReference"/>
        </w:rPr>
        <w:footnoteReference w:id="12"/>
      </w:r>
      <w:r w:rsidR="002650C2">
        <w:t xml:space="preserve"> limit for AM stations.</w:t>
      </w:r>
      <w:r>
        <w:rPr>
          <w:rStyle w:val="FootnoteReference"/>
        </w:rPr>
        <w:footnoteReference w:id="13"/>
      </w:r>
      <w:r w:rsidR="002650C2">
        <w:t xml:space="preserve">  </w:t>
      </w:r>
      <w:r w:rsidR="000A3BA3">
        <w:t>Five commenters support this rule change and no commenters oppose it.</w:t>
      </w:r>
      <w:r>
        <w:rPr>
          <w:rStyle w:val="FootnoteReference"/>
        </w:rPr>
        <w:footnoteReference w:id="14"/>
      </w:r>
      <w:r w:rsidR="000A3BA3">
        <w:t xml:space="preserve"> </w:t>
      </w:r>
      <w:r w:rsidR="00540AAF">
        <w:t xml:space="preserve"> </w:t>
      </w:r>
      <w:r w:rsidR="003E3B5A">
        <w:t>We affirm our tentative conclusion</w:t>
      </w:r>
      <w:r w:rsidRPr="00F87994" w:rsidR="00540AAF">
        <w:t xml:space="preserve"> </w:t>
      </w:r>
      <w:r w:rsidR="00540AAF">
        <w:t>that an equipment limitation on transmitter power is outdated and unnecessary given our current reliance on actual operating antenna input power as the most accurate and effective means of ensuring that AM stations adhere to their authorized power limits.</w:t>
      </w:r>
      <w:r>
        <w:rPr>
          <w:rStyle w:val="FootnoteReference"/>
        </w:rPr>
        <w:footnoteReference w:id="15"/>
      </w:r>
      <w:r w:rsidR="00540AAF">
        <w:t xml:space="preserve">  </w:t>
      </w:r>
      <w:r w:rsidR="00F83343">
        <w:t>Furthermore, we agree with NAB that elimination of th</w:t>
      </w:r>
      <w:r w:rsidR="00F72988">
        <w:t>is technical restriction on AM transmitters</w:t>
      </w:r>
      <w:r w:rsidR="00F83343">
        <w:t xml:space="preserve"> will </w:t>
      </w:r>
      <w:r w:rsidR="00F72988">
        <w:t xml:space="preserve">allow </w:t>
      </w:r>
      <w:r w:rsidR="00CF72DC">
        <w:t xml:space="preserve">AM </w:t>
      </w:r>
      <w:r w:rsidR="00F72988">
        <w:t xml:space="preserve">stations of any class to use transmitters of any rated power, thus </w:t>
      </w:r>
      <w:r w:rsidR="00F83343">
        <w:t>benefit</w:t>
      </w:r>
      <w:r w:rsidR="00F72988">
        <w:t>ing</w:t>
      </w:r>
      <w:r w:rsidR="00F83343">
        <w:t xml:space="preserve"> the AM service by broadening the market of transmitters available to stations, enhancing the secondary market for AM transmitters, and reducing the number of transmitters that need to be disposed of.</w:t>
      </w:r>
      <w:r>
        <w:rPr>
          <w:rStyle w:val="FootnoteReference"/>
        </w:rPr>
        <w:footnoteReference w:id="16"/>
      </w:r>
      <w:r w:rsidR="000A3BA3">
        <w:t xml:space="preserve">  </w:t>
      </w:r>
      <w:r>
        <w:t xml:space="preserve">Accordingly, </w:t>
      </w:r>
      <w:r w:rsidR="002650C2">
        <w:t xml:space="preserve">we </w:t>
      </w:r>
      <w:r>
        <w:t>amend section 73.1665(b) by removing the maximum rated transmitter power for AM stations</w:t>
      </w:r>
      <w:r w:rsidR="002650C2">
        <w:t xml:space="preserve">, </w:t>
      </w:r>
      <w:r>
        <w:t>deleting the “Table 1 to paragraph (b)</w:t>
      </w:r>
      <w:r w:rsidR="002650C2">
        <w:t>,</w:t>
      </w:r>
      <w:r>
        <w:t>”</w:t>
      </w:r>
      <w:r w:rsidR="002650C2">
        <w:t xml:space="preserve"> and </w:t>
      </w:r>
      <w:r w:rsidR="00965666">
        <w:t>replacin</w:t>
      </w:r>
      <w:r w:rsidR="002650C2">
        <w:t>g “</w:t>
      </w:r>
      <w:r w:rsidR="00F309B5">
        <w:t xml:space="preserve">power </w:t>
      </w:r>
      <w:r w:rsidR="002650C2">
        <w:t>rat</w:t>
      </w:r>
      <w:r w:rsidR="00F309B5">
        <w:t>ing limit</w:t>
      </w:r>
      <w:r w:rsidR="002650C2">
        <w:t xml:space="preserve">” </w:t>
      </w:r>
      <w:r w:rsidR="00F309B5">
        <w:t xml:space="preserve">in the first sentence of section 73.1665(b) </w:t>
      </w:r>
      <w:r w:rsidR="00965666">
        <w:t>with</w:t>
      </w:r>
      <w:r w:rsidR="008D3C68">
        <w:t xml:space="preserve"> </w:t>
      </w:r>
      <w:r w:rsidR="002650C2">
        <w:t>“manufacturer-rated</w:t>
      </w:r>
      <w:r w:rsidR="00F309B5">
        <w:t xml:space="preserve"> power limit</w:t>
      </w:r>
      <w:r w:rsidR="002650C2">
        <w:t>”</w:t>
      </w:r>
      <w:r w:rsidR="008D3C68">
        <w:t xml:space="preserve"> to </w:t>
      </w:r>
      <w:r w:rsidR="00965666">
        <w:t>indicate</w:t>
      </w:r>
      <w:r w:rsidR="008D3C68">
        <w:t xml:space="preserve"> that this is </w:t>
      </w:r>
      <w:r w:rsidR="00F309B5">
        <w:t>a technical specification established by the transmitter manufacturer.</w:t>
      </w:r>
      <w:r w:rsidR="002650C2">
        <w:t xml:space="preserve"> </w:t>
      </w:r>
    </w:p>
    <w:p w:rsidR="00F12892" w:rsidP="00253246" w14:paraId="305B0E22" w14:textId="6BAF14FF">
      <w:pPr>
        <w:pStyle w:val="Heading2"/>
      </w:pPr>
      <w:r>
        <w:t xml:space="preserve">NCE </w:t>
      </w:r>
      <w:r w:rsidR="00522C0F">
        <w:t xml:space="preserve">FM </w:t>
      </w:r>
      <w:r>
        <w:t>Community of License Coverage</w:t>
      </w:r>
    </w:p>
    <w:p w:rsidR="00965666" w:rsidP="00F12892" w14:paraId="365B4500" w14:textId="1EA44DCC">
      <w:pPr>
        <w:pStyle w:val="ParaNum"/>
      </w:pPr>
      <w:r>
        <w:t>We</w:t>
      </w:r>
      <w:r>
        <w:t xml:space="preserve"> adopt the proposal in the </w:t>
      </w:r>
      <w:r>
        <w:rPr>
          <w:i/>
          <w:iCs/>
        </w:rPr>
        <w:t xml:space="preserve">NPRM </w:t>
      </w:r>
      <w:r>
        <w:t xml:space="preserve">to </w:t>
      </w:r>
      <w:r w:rsidR="00256631">
        <w:t xml:space="preserve">eliminate the inconsistency between </w:t>
      </w:r>
      <w:r>
        <w:t>sections 73.316(c)(2)(ix)(B) and 73.1690(c)(8)(i)</w:t>
      </w:r>
      <w:r w:rsidR="00F34375">
        <w:t xml:space="preserve"> and</w:t>
      </w:r>
      <w:r>
        <w:t xml:space="preserve"> the NCE FM community coverage standard set out in section 73.515 of the rules.</w:t>
      </w:r>
      <w:r>
        <w:rPr>
          <w:rStyle w:val="FootnoteReference"/>
        </w:rPr>
        <w:footnoteReference w:id="17"/>
      </w:r>
      <w:r>
        <w:t xml:space="preserve"> </w:t>
      </w:r>
      <w:r>
        <w:t xml:space="preserve"> </w:t>
      </w:r>
      <w:bookmarkStart w:id="9" w:name="_Hlk89876709"/>
      <w:r>
        <w:t xml:space="preserve">Five commenters support this </w:t>
      </w:r>
      <w:r w:rsidR="00783139">
        <w:t>proposal</w:t>
      </w:r>
      <w:r>
        <w:t xml:space="preserve"> and no commenters oppose it.</w:t>
      </w:r>
      <w:r>
        <w:rPr>
          <w:rStyle w:val="FootnoteReference"/>
        </w:rPr>
        <w:footnoteReference w:id="18"/>
      </w:r>
      <w:r>
        <w:t xml:space="preserve">  </w:t>
      </w:r>
      <w:bookmarkEnd w:id="9"/>
      <w:r w:rsidR="006268D8">
        <w:t xml:space="preserve">  </w:t>
      </w:r>
      <w:r w:rsidR="00713482">
        <w:t>S</w:t>
      </w:r>
      <w:r w:rsidR="00C76B33">
        <w:t>pecifically, s</w:t>
      </w:r>
      <w:r w:rsidR="006268D8">
        <w:t xml:space="preserve">ections 73.316(c)(2)(ix)(B) and 73.1690(c)(8)(i) </w:t>
      </w:r>
      <w:r w:rsidR="006F409C">
        <w:t xml:space="preserve"> </w:t>
      </w:r>
      <w:r w:rsidR="007F5D6A">
        <w:t>currently</w:t>
      </w:r>
      <w:r w:rsidR="00DC1957">
        <w:t xml:space="preserve"> </w:t>
      </w:r>
      <w:r w:rsidR="00540AAF">
        <w:t>state</w:t>
      </w:r>
      <w:r w:rsidR="006268D8">
        <w:t xml:space="preserve"> that NCE stations</w:t>
      </w:r>
      <w:r w:rsidR="00540AAF">
        <w:t xml:space="preserve"> must</w:t>
      </w:r>
      <w:r w:rsidR="006268D8">
        <w:t xml:space="preserve"> </w:t>
      </w:r>
      <w:r w:rsidR="00037AB0">
        <w:t xml:space="preserve">demonstrate that they </w:t>
      </w:r>
      <w:r w:rsidR="006268D8">
        <w:t>cover “at least a portion of the community of license”</w:t>
      </w:r>
      <w:r w:rsidR="00037AB0">
        <w:t xml:space="preserve"> when submitting certain types of applications.</w:t>
      </w:r>
      <w:r>
        <w:rPr>
          <w:rStyle w:val="FootnoteReference"/>
        </w:rPr>
        <w:footnoteReference w:id="19"/>
      </w:r>
      <w:r w:rsidR="006268D8">
        <w:t xml:space="preserve">  </w:t>
      </w:r>
      <w:r w:rsidR="00CA61E4">
        <w:t>In contrast, section 73.515</w:t>
      </w:r>
      <w:r w:rsidR="007F5D6A">
        <w:t>, which was adopted after</w:t>
      </w:r>
      <w:r w:rsidRPr="007F5D6A" w:rsidR="007F5D6A">
        <w:t xml:space="preserve"> </w:t>
      </w:r>
      <w:r w:rsidR="007F5D6A">
        <w:t>sections 73.316(c)(2)(ix)(B) and 73.1690(c)(8)(i), established the current standard, namely,</w:t>
      </w:r>
      <w:r w:rsidR="00CA61E4">
        <w:t xml:space="preserve"> that NCE stations</w:t>
      </w:r>
      <w:r w:rsidR="00540AAF">
        <w:t xml:space="preserve"> must</w:t>
      </w:r>
      <w:r w:rsidR="00AC28CD">
        <w:t xml:space="preserve"> </w:t>
      </w:r>
      <w:r w:rsidR="006268D8">
        <w:t>cover 50% of their community of license or 50% of the population in their community with a 60 dBu signal strength predicted contour</w:t>
      </w:r>
      <w:r w:rsidR="00C76B33">
        <w:t>.</w:t>
      </w:r>
      <w:r w:rsidR="00783139">
        <w:t xml:space="preserve">  </w:t>
      </w:r>
      <w:r w:rsidR="00CA61E4">
        <w:t>To</w:t>
      </w:r>
      <w:r w:rsidR="00297415">
        <w:t xml:space="preserve"> </w:t>
      </w:r>
      <w:r w:rsidR="003365B9">
        <w:t xml:space="preserve">create consistency </w:t>
      </w:r>
      <w:r w:rsidR="00256631">
        <w:t xml:space="preserve">and clarity </w:t>
      </w:r>
      <w:r w:rsidR="00CA61E4">
        <w:t>among these</w:t>
      </w:r>
      <w:r w:rsidR="003365B9">
        <w:t xml:space="preserve"> rules</w:t>
      </w:r>
      <w:r w:rsidR="00297415">
        <w:t xml:space="preserve">, we amend </w:t>
      </w:r>
      <w:r w:rsidR="003365B9">
        <w:t>sections 73.316(c)(2)(ix)(B) and 73.1690(c)(8)(i)</w:t>
      </w:r>
      <w:r w:rsidRPr="00E90E0C" w:rsidR="003365B9">
        <w:rPr>
          <w:rStyle w:val="FootnoteReference"/>
        </w:rPr>
        <w:t xml:space="preserve"> </w:t>
      </w:r>
      <w:r w:rsidR="00297415">
        <w:t xml:space="preserve">to </w:t>
      </w:r>
      <w:r w:rsidR="007F5D6A">
        <w:t xml:space="preserve">conform to the updated standard </w:t>
      </w:r>
      <w:r w:rsidR="00037AB0">
        <w:t xml:space="preserve">that </w:t>
      </w:r>
      <w:r w:rsidR="0042716D">
        <w:t xml:space="preserve">NCE applicants </w:t>
      </w:r>
      <w:r w:rsidR="00540AAF">
        <w:t>must</w:t>
      </w:r>
      <w:r w:rsidR="00037AB0">
        <w:t xml:space="preserve"> show</w:t>
      </w:r>
      <w:r w:rsidR="0042716D">
        <w:t xml:space="preserve"> that the</w:t>
      </w:r>
      <w:r w:rsidR="00713482">
        <w:t>ir</w:t>
      </w:r>
      <w:r w:rsidR="0042716D">
        <w:t xml:space="preserve"> </w:t>
      </w:r>
      <w:r w:rsidR="009E4EAC">
        <w:t>predicted</w:t>
      </w:r>
      <w:r w:rsidR="0042716D">
        <w:t xml:space="preserve"> 60 dBu contour will cover </w:t>
      </w:r>
      <w:r w:rsidRPr="0055023A" w:rsidR="00297415">
        <w:t>at least 50</w:t>
      </w:r>
      <w:r w:rsidR="00297415">
        <w:t>%</w:t>
      </w:r>
      <w:r w:rsidRPr="0055023A" w:rsidR="00297415">
        <w:t xml:space="preserve"> of </w:t>
      </w:r>
      <w:r w:rsidR="0042716D">
        <w:t>the</w:t>
      </w:r>
      <w:r w:rsidR="00037AB0">
        <w:t xml:space="preserve"> relevant</w:t>
      </w:r>
      <w:r w:rsidRPr="0055023A" w:rsidR="00297415">
        <w:t xml:space="preserve"> community of license or reach 50</w:t>
      </w:r>
      <w:r w:rsidR="00297415">
        <w:t>%</w:t>
      </w:r>
      <w:r w:rsidRPr="0055023A" w:rsidR="00297415">
        <w:t xml:space="preserve"> of the population within the community</w:t>
      </w:r>
      <w:r w:rsidR="00297415">
        <w:t xml:space="preserve">.  </w:t>
      </w:r>
    </w:p>
    <w:p w:rsidR="00133B48" w:rsidP="00F12892" w14:paraId="4E6CCEBE" w14:textId="4FEDB27F">
      <w:pPr>
        <w:pStyle w:val="ParaNum"/>
      </w:pPr>
      <w:r>
        <w:t xml:space="preserve">One commenter, </w:t>
      </w:r>
      <w:r w:rsidR="007F5D6A">
        <w:t>Read</w:t>
      </w:r>
      <w:r>
        <w:t>,</w:t>
      </w:r>
      <w:r w:rsidR="007F5D6A">
        <w:t xml:space="preserve"> supports </w:t>
      </w:r>
      <w:r w:rsidR="00256631">
        <w:t>harmonizing</w:t>
      </w:r>
      <w:r w:rsidR="00AF5B35">
        <w:t xml:space="preserve"> NCE FM community of license coverage requirement</w:t>
      </w:r>
      <w:r w:rsidR="00256631">
        <w:t>s</w:t>
      </w:r>
      <w:r w:rsidR="00AF5B35">
        <w:t>; however, he requests the Commission to “provide</w:t>
      </w:r>
      <w:r w:rsidRPr="00AF5B35" w:rsidR="00AF5B35">
        <w:rPr>
          <w:rFonts w:ascii="Open Sans" w:hAnsi="Open Sans" w:cs="Open Sans"/>
          <w:color w:val="1D2B3E"/>
          <w:sz w:val="21"/>
          <w:szCs w:val="21"/>
          <w:shd w:val="clear" w:color="auto" w:fill="FFFFFF"/>
        </w:rPr>
        <w:t xml:space="preserve"> </w:t>
      </w:r>
      <w:r w:rsidRPr="00AF5B35" w:rsidR="00AF5B35">
        <w:t>formal guidance</w:t>
      </w:r>
      <w:r w:rsidR="002961AB">
        <w:t>”</w:t>
      </w:r>
      <w:r w:rsidRPr="00AF5B35" w:rsidR="00AF5B35">
        <w:t xml:space="preserve"> on </w:t>
      </w:r>
      <w:r w:rsidR="002961AB">
        <w:t>the application of the coverage requirement for</w:t>
      </w:r>
      <w:r w:rsidRPr="00AF5B35" w:rsidR="00AF5B35">
        <w:t xml:space="preserve"> </w:t>
      </w:r>
      <w:r w:rsidR="002961AB">
        <w:t>“</w:t>
      </w:r>
      <w:r w:rsidRPr="00AF5B35" w:rsidR="00AF5B35">
        <w:t>NCE stations with smaller signals in larger communities, where the signal cannot possibly meet the standard of 73.515 without causing prohibited contour overlap with nearby facilities</w:t>
      </w:r>
      <w:r w:rsidR="00AF5B35">
        <w:t>.</w:t>
      </w:r>
      <w:r w:rsidR="002961AB">
        <w:t>”</w:t>
      </w:r>
      <w:r>
        <w:rPr>
          <w:rStyle w:val="FootnoteReference"/>
        </w:rPr>
        <w:footnoteReference w:id="20"/>
      </w:r>
      <w:r>
        <w:t xml:space="preserve"> </w:t>
      </w:r>
      <w:r w:rsidR="00AF5B35">
        <w:t xml:space="preserve"> In response, </w:t>
      </w:r>
      <w:r>
        <w:t xml:space="preserve">we </w:t>
      </w:r>
      <w:r w:rsidR="00AF5B35">
        <w:t xml:space="preserve">observe </w:t>
      </w:r>
      <w:r>
        <w:t xml:space="preserve">that </w:t>
      </w:r>
      <w:r w:rsidR="000C28EE">
        <w:t xml:space="preserve">the 60 dBu </w:t>
      </w:r>
      <w:r w:rsidR="00676769">
        <w:t>contour</w:t>
      </w:r>
      <w:r w:rsidR="008A512E">
        <w:t>-</w:t>
      </w:r>
      <w:r w:rsidR="00676769">
        <w:t xml:space="preserve"> based </w:t>
      </w:r>
      <w:r w:rsidR="000C28EE">
        <w:t xml:space="preserve">coverage standard </w:t>
      </w:r>
      <w:r w:rsidR="00B13838">
        <w:t>(rather than the 70 dBu</w:t>
      </w:r>
      <w:r w:rsidR="00676769">
        <w:t xml:space="preserve"> contour</w:t>
      </w:r>
      <w:r w:rsidR="008A512E">
        <w:t xml:space="preserve">-based coverage standard </w:t>
      </w:r>
      <w:r w:rsidR="00B13838">
        <w:t>used for commercial FM stations</w:t>
      </w:r>
      <w:r>
        <w:rPr>
          <w:rStyle w:val="FootnoteReference"/>
        </w:rPr>
        <w:footnoteReference w:id="21"/>
      </w:r>
      <w:r w:rsidR="00B13838">
        <w:t xml:space="preserve">) </w:t>
      </w:r>
      <w:r w:rsidR="00AF5B35">
        <w:t xml:space="preserve">already </w:t>
      </w:r>
      <w:r w:rsidR="0042716D">
        <w:t>represents a carefully considered balance between “</w:t>
      </w:r>
      <w:r w:rsidRPr="00BC7AA2" w:rsidR="0042716D">
        <w:t>the Commission</w:t>
      </w:r>
      <w:r w:rsidR="00192B33">
        <w:t>’</w:t>
      </w:r>
      <w:r w:rsidRPr="00BC7AA2" w:rsidR="0042716D">
        <w:t xml:space="preserve">s mandate under Section 307(b) of the Act </w:t>
      </w:r>
      <w:r w:rsidR="0042716D">
        <w:t xml:space="preserve">[to ensure service to a community of license] </w:t>
      </w:r>
      <w:r w:rsidRPr="00BC7AA2" w:rsidR="0042716D">
        <w:t>with the service, technical, and financial realities of operating NCE FM stations.</w:t>
      </w:r>
      <w:r w:rsidR="0042716D">
        <w:t>”</w:t>
      </w:r>
      <w:r>
        <w:rPr>
          <w:rStyle w:val="FootnoteReference"/>
        </w:rPr>
        <w:footnoteReference w:id="22"/>
      </w:r>
      <w:r w:rsidR="0042716D">
        <w:t xml:space="preserve">  </w:t>
      </w:r>
      <w:r w:rsidR="00B13838">
        <w:t>T</w:t>
      </w:r>
      <w:r w:rsidR="00713482">
        <w:t>his standard</w:t>
      </w:r>
      <w:r w:rsidR="00577814">
        <w:t xml:space="preserve"> </w:t>
      </w:r>
      <w:r w:rsidR="000C28EE">
        <w:t>is</w:t>
      </w:r>
      <w:r w:rsidR="00B13838">
        <w:t xml:space="preserve"> </w:t>
      </w:r>
      <w:r w:rsidR="00577814">
        <w:t>d</w:t>
      </w:r>
      <w:r w:rsidR="000C28EE">
        <w:t xml:space="preserve">esigned to </w:t>
      </w:r>
      <w:r w:rsidRPr="00806BD4" w:rsidR="000C28EE">
        <w:t xml:space="preserve">ensure </w:t>
      </w:r>
      <w:r w:rsidR="00713482">
        <w:t xml:space="preserve">that NCE stations have </w:t>
      </w:r>
      <w:r w:rsidRPr="00806BD4" w:rsidR="000C28EE">
        <w:t xml:space="preserve">sufficient flexibility in siting facilities </w:t>
      </w:r>
      <w:r w:rsidR="00713482">
        <w:t>while</w:t>
      </w:r>
      <w:r w:rsidRPr="00806BD4" w:rsidR="000C28EE">
        <w:t xml:space="preserve"> </w:t>
      </w:r>
      <w:r w:rsidR="00713482">
        <w:t xml:space="preserve">still </w:t>
      </w:r>
      <w:r w:rsidRPr="00806BD4" w:rsidR="000C28EE">
        <w:t xml:space="preserve">reaching </w:t>
      </w:r>
      <w:r w:rsidR="00713482">
        <w:t xml:space="preserve">their </w:t>
      </w:r>
      <w:r w:rsidRPr="00806BD4" w:rsidR="000C28EE">
        <w:t>target audiences.</w:t>
      </w:r>
      <w:r>
        <w:rPr>
          <w:rStyle w:val="FootnoteReference"/>
        </w:rPr>
        <w:footnoteReference w:id="23"/>
      </w:r>
      <w:r w:rsidR="000C28EE">
        <w:t xml:space="preserve">  </w:t>
      </w:r>
      <w:r w:rsidR="000728A8">
        <w:t xml:space="preserve">Therefore, other than </w:t>
      </w:r>
      <w:r w:rsidR="008F199B">
        <w:t>consistently applying this standard to sections 73.316(c)(2)(ix)(B) and 73.1690(c)(8)(i)</w:t>
      </w:r>
      <w:r w:rsidR="000728A8">
        <w:t>, we</w:t>
      </w:r>
      <w:r w:rsidR="00256631">
        <w:t xml:space="preserve"> decline to</w:t>
      </w:r>
      <w:r w:rsidR="000728A8">
        <w:t xml:space="preserve"> adopt </w:t>
      </w:r>
      <w:r w:rsidR="00256631">
        <w:t>any</w:t>
      </w:r>
      <w:r w:rsidR="000728A8">
        <w:t xml:space="preserve"> further substantive modifications to the rule at this time.</w:t>
      </w:r>
    </w:p>
    <w:p w:rsidR="00F12892" w:rsidP="00253246" w14:paraId="39AA3BE4" w14:textId="77777777">
      <w:pPr>
        <w:pStyle w:val="Heading2"/>
      </w:pPr>
      <w:r>
        <w:t>FM Transmitter Interference to Nearby Antennas</w:t>
      </w:r>
    </w:p>
    <w:p w:rsidR="00F12892" w:rsidP="00253246" w14:paraId="52C87C35" w14:textId="7019E94D">
      <w:pPr>
        <w:pStyle w:val="ParaNum"/>
        <w:widowControl/>
      </w:pPr>
      <w:r>
        <w:t>In light of industry feedback</w:t>
      </w:r>
      <w:r w:rsidR="00F7736C">
        <w:t xml:space="preserve"> </w:t>
      </w:r>
      <w:r w:rsidR="00F424AE">
        <w:t>cautioning that our proposal could undermine</w:t>
      </w:r>
      <w:r w:rsidR="00F7736C">
        <w:t xml:space="preserve"> the Commission’s </w:t>
      </w:r>
      <w:r w:rsidR="002608E2">
        <w:t>“newcomer policy</w:t>
      </w:r>
      <w:r w:rsidR="00256631">
        <w:t>,</w:t>
      </w:r>
      <w:r w:rsidR="002608E2">
        <w:t>”</w:t>
      </w:r>
      <w:r>
        <w:t xml:space="preserve"> we</w:t>
      </w:r>
      <w:r>
        <w:t xml:space="preserve"> </w:t>
      </w:r>
      <w:r w:rsidR="00713482">
        <w:t>do</w:t>
      </w:r>
      <w:r w:rsidR="00C33389">
        <w:t xml:space="preserve"> not</w:t>
      </w:r>
      <w:r>
        <w:t xml:space="preserve"> adopt the proposal </w:t>
      </w:r>
      <w:r w:rsidR="004F0F50">
        <w:t xml:space="preserve">in the </w:t>
      </w:r>
      <w:r w:rsidR="004F0F50">
        <w:rPr>
          <w:i/>
          <w:iCs/>
        </w:rPr>
        <w:t xml:space="preserve">NPRM </w:t>
      </w:r>
      <w:r>
        <w:t>to eliminate section 73.316(d)</w:t>
      </w:r>
      <w:r w:rsidR="00783139">
        <w:t xml:space="preserve">, </w:t>
      </w:r>
      <w:r w:rsidR="00803C6A">
        <w:t xml:space="preserve">which </w:t>
      </w:r>
      <w:r>
        <w:t>provides that “[a]</w:t>
      </w:r>
      <w:r w:rsidRPr="00124B25">
        <w:t>pplications</w:t>
      </w:r>
      <w:r w:rsidRPr="00124B25">
        <w:t xml:space="preserve"> proposing the use of FM transmitting antennas in the immediate vicinity (i.e. 60 meters or less) of other FM or TV broadcast antennas must include a showing as to the expected effect, if any, of such approximate operation.</w:t>
      </w:r>
      <w:r>
        <w:t>”</w:t>
      </w:r>
      <w:r>
        <w:rPr>
          <w:rStyle w:val="FootnoteReference"/>
        </w:rPr>
        <w:footnoteReference w:id="24"/>
      </w:r>
      <w:r>
        <w:t xml:space="preserve">  </w:t>
      </w:r>
      <w:r w:rsidR="00F34375">
        <w:t>Three commenters support this proposal, one commenter</w:t>
      </w:r>
      <w:r w:rsidR="008A4CBB">
        <w:t xml:space="preserve"> (</w:t>
      </w:r>
      <w:r w:rsidR="00F34375">
        <w:t xml:space="preserve">Cohen, </w:t>
      </w:r>
      <w:r w:rsidR="00F34375">
        <w:t>Dippell</w:t>
      </w:r>
      <w:r w:rsidR="00F34375">
        <w:t xml:space="preserve">, and </w:t>
      </w:r>
      <w:r w:rsidR="00F34375">
        <w:t>Everist</w:t>
      </w:r>
      <w:r w:rsidR="008A4CBB">
        <w:t>)</w:t>
      </w:r>
      <w:r w:rsidR="00F34375">
        <w:t xml:space="preserve"> supports the proposal with conditions, and one commenter, NAB, opposes it, as detailed below.</w:t>
      </w:r>
      <w:r>
        <w:rPr>
          <w:rStyle w:val="FootnoteReference"/>
        </w:rPr>
        <w:footnoteReference w:id="25"/>
      </w:r>
      <w:r w:rsidR="00F34375">
        <w:t xml:space="preserve">  </w:t>
      </w:r>
      <w:r>
        <w:t xml:space="preserve">In the </w:t>
      </w:r>
      <w:r>
        <w:rPr>
          <w:i/>
          <w:iCs/>
        </w:rPr>
        <w:t>NPRM</w:t>
      </w:r>
      <w:r>
        <w:t xml:space="preserve">, we explained that </w:t>
      </w:r>
      <w:r w:rsidR="00613FF7">
        <w:t>this provision</w:t>
      </w:r>
      <w:r>
        <w:t xml:space="preserve"> has been seldom, if ever, used as the basis for a Commission or Bureau action</w:t>
      </w:r>
      <w:r w:rsidRPr="00F12892">
        <w:t xml:space="preserve"> </w:t>
      </w:r>
      <w:r>
        <w:t xml:space="preserve">and that we were not aware of any industry complaints </w:t>
      </w:r>
      <w:r w:rsidR="00B256FD">
        <w:t xml:space="preserve">relying </w:t>
      </w:r>
      <w:r w:rsidR="00DF5EFF">
        <w:t xml:space="preserve">on </w:t>
      </w:r>
      <w:r w:rsidR="00B256FD">
        <w:t>section 73.316(d)</w:t>
      </w:r>
      <w:r>
        <w:t xml:space="preserve"> during the more than 70 years this rule has been in effect.</w:t>
      </w:r>
      <w:r>
        <w:rPr>
          <w:rStyle w:val="FootnoteReference"/>
        </w:rPr>
        <w:footnoteReference w:id="26"/>
      </w:r>
      <w:r>
        <w:t xml:space="preserve">  We </w:t>
      </w:r>
      <w:r w:rsidR="00613FF7">
        <w:t xml:space="preserve">also </w:t>
      </w:r>
      <w:r>
        <w:t>tentatively concluded that</w:t>
      </w:r>
      <w:r w:rsidR="00613FF7">
        <w:t>, from a technical standpoint,</w:t>
      </w:r>
      <w:r>
        <w:t xml:space="preserve"> broadcast radio antennas within </w:t>
      </w:r>
      <w:r>
        <w:t xml:space="preserve">this physical proximity are unlikely to create interference problems if they are otherwise compliant with the </w:t>
      </w:r>
      <w:r w:rsidR="00EB5C51">
        <w:t xml:space="preserve">FM </w:t>
      </w:r>
      <w:r>
        <w:t>transmission system requirements set out in section 73.317 of the rules.</w:t>
      </w:r>
      <w:r>
        <w:rPr>
          <w:rStyle w:val="FootnoteReference"/>
        </w:rPr>
        <w:footnoteReference w:id="27"/>
      </w:r>
      <w:r>
        <w:t xml:space="preserve"> </w:t>
      </w:r>
    </w:p>
    <w:p w:rsidR="00F12892" w:rsidP="00F12892" w14:paraId="5F65C01A" w14:textId="378E4F5C">
      <w:pPr>
        <w:pStyle w:val="ParaNum"/>
      </w:pPr>
      <w:r>
        <w:t xml:space="preserve">In its </w:t>
      </w:r>
      <w:r w:rsidR="00256631">
        <w:t>c</w:t>
      </w:r>
      <w:r>
        <w:t xml:space="preserve">omments, NAB objects to the elimination of this rule on the basis that doing so would weaken the Commission’s “newcomer policy.”  Under this </w:t>
      </w:r>
      <w:r w:rsidR="00C33389">
        <w:t xml:space="preserve">long-established </w:t>
      </w:r>
      <w:r>
        <w:t xml:space="preserve">policy, </w:t>
      </w:r>
      <w:r w:rsidRPr="0008116A">
        <w:t>a newcomer (i.e., a party constructing a new or modified facility) is responsible, financially or otherwise, for eliminat</w:t>
      </w:r>
      <w:r w:rsidR="00AF5B35">
        <w:t>ing</w:t>
      </w:r>
      <w:r w:rsidRPr="0008116A">
        <w:t xml:space="preserve"> objectionable interference to </w:t>
      </w:r>
      <w:r w:rsidR="00AF5B35">
        <w:t>pre</w:t>
      </w:r>
      <w:r w:rsidRPr="0008116A">
        <w:t>existing stations</w:t>
      </w:r>
      <w:r>
        <w:t>.</w:t>
      </w:r>
      <w:r>
        <w:rPr>
          <w:rStyle w:val="FootnoteReference"/>
        </w:rPr>
        <w:footnoteReference w:id="28"/>
      </w:r>
      <w:r>
        <w:t xml:space="preserve">  </w:t>
      </w:r>
      <w:r w:rsidRPr="00347B39" w:rsidR="00347B39">
        <w:t xml:space="preserve">The </w:t>
      </w:r>
      <w:r w:rsidR="00C33389">
        <w:t xml:space="preserve">policy </w:t>
      </w:r>
      <w:r w:rsidR="00577814">
        <w:t>has been applied to a variety of services, both broadcast and non-broadcast.</w:t>
      </w:r>
      <w:r>
        <w:rPr>
          <w:rStyle w:val="FootnoteReference"/>
        </w:rPr>
        <w:footnoteReference w:id="29"/>
      </w:r>
      <w:r w:rsidRPr="00347B39" w:rsidR="00347B39">
        <w:t xml:space="preserve"> </w:t>
      </w:r>
      <w:r w:rsidR="0062098A">
        <w:t xml:space="preserve"> Section 73.316(d) is a codification of this policy as it applies to </w:t>
      </w:r>
      <w:r w:rsidR="001863D8">
        <w:t>FM and TV antennas installed in close proximity.</w:t>
      </w:r>
      <w:r>
        <w:rPr>
          <w:rStyle w:val="FootnoteReference"/>
        </w:rPr>
        <w:footnoteReference w:id="30"/>
      </w:r>
      <w:r w:rsidRPr="00803C6A" w:rsidR="00803C6A">
        <w:t xml:space="preserve"> </w:t>
      </w:r>
      <w:r w:rsidR="00803C6A">
        <w:t xml:space="preserve"> Cohen, </w:t>
      </w:r>
      <w:r w:rsidR="00803C6A">
        <w:t>Dippell</w:t>
      </w:r>
      <w:r w:rsidR="00803C6A">
        <w:t xml:space="preserve"> and </w:t>
      </w:r>
      <w:r w:rsidR="00803C6A">
        <w:t>Everist</w:t>
      </w:r>
      <w:r w:rsidR="00803C6A">
        <w:t xml:space="preserve"> state that section 73.316(d) is no longer necessary as long as the newcomer policy is left in place.</w:t>
      </w:r>
      <w:r>
        <w:rPr>
          <w:rStyle w:val="FootnoteReference"/>
        </w:rPr>
        <w:footnoteReference w:id="31"/>
      </w:r>
      <w:r w:rsidR="00803C6A">
        <w:t xml:space="preserve">  Read comments that the rule has never been invoked and thus “clearly has no relevance to modern broadcasting.”</w:t>
      </w:r>
      <w:r>
        <w:rPr>
          <w:rStyle w:val="FootnoteReference"/>
        </w:rPr>
        <w:footnoteReference w:id="32"/>
      </w:r>
      <w:r w:rsidR="00803C6A">
        <w:t xml:space="preserve">  </w:t>
      </w:r>
    </w:p>
    <w:p w:rsidR="004F0F50" w:rsidP="001234CB" w14:paraId="015A7180" w14:textId="01922D50">
      <w:pPr>
        <w:pStyle w:val="ParaNum"/>
      </w:pPr>
      <w:r>
        <w:t>In the FM service,</w:t>
      </w:r>
      <w:r w:rsidR="00783139">
        <w:t xml:space="preserve"> t</w:t>
      </w:r>
      <w:r w:rsidR="00577814">
        <w:t>he Commission has rarely</w:t>
      </w:r>
      <w:r w:rsidR="00735B16">
        <w:t>—</w:t>
      </w:r>
      <w:r w:rsidR="00577814">
        <w:t>if ev</w:t>
      </w:r>
      <w:r w:rsidR="00735B16">
        <w:t>er—</w:t>
      </w:r>
      <w:r>
        <w:t xml:space="preserve">expressly </w:t>
      </w:r>
      <w:r w:rsidR="00577814">
        <w:t xml:space="preserve">relied on section 73.316(d) </w:t>
      </w:r>
      <w:r w:rsidR="00C33389">
        <w:t>(</w:t>
      </w:r>
      <w:r w:rsidR="00735B16">
        <w:t xml:space="preserve">or its predecessor </w:t>
      </w:r>
      <w:r w:rsidR="00C33389">
        <w:t>rule sections)</w:t>
      </w:r>
      <w:r w:rsidR="00735B16">
        <w:t xml:space="preserve"> </w:t>
      </w:r>
      <w:r>
        <w:t>as a means of</w:t>
      </w:r>
      <w:r w:rsidR="00577814">
        <w:t xml:space="preserve"> implement</w:t>
      </w:r>
      <w:r>
        <w:t>ing</w:t>
      </w:r>
      <w:r w:rsidR="00577814">
        <w:t xml:space="preserve"> the</w:t>
      </w:r>
      <w:r w:rsidR="00F12892">
        <w:t xml:space="preserve"> “newcomer policy</w:t>
      </w:r>
      <w:r w:rsidR="00603A59">
        <w:t>”</w:t>
      </w:r>
      <w:r w:rsidR="00567D17">
        <w:t xml:space="preserve"> or address</w:t>
      </w:r>
      <w:r>
        <w:t>ing</w:t>
      </w:r>
      <w:r w:rsidR="00567D17">
        <w:t xml:space="preserve"> issues of proximity interference </w:t>
      </w:r>
      <w:r w:rsidR="00735B16">
        <w:t>and</w:t>
      </w:r>
      <w:r w:rsidR="00567D17">
        <w:t xml:space="preserve"> intermodulation</w:t>
      </w:r>
      <w:r w:rsidR="00F12892">
        <w:t>.</w:t>
      </w:r>
      <w:r>
        <w:rPr>
          <w:rStyle w:val="FootnoteReference"/>
        </w:rPr>
        <w:footnoteReference w:id="33"/>
      </w:r>
      <w:r w:rsidR="00F12892">
        <w:t xml:space="preserve">  </w:t>
      </w:r>
      <w:r w:rsidR="001234CB">
        <w:t xml:space="preserve">However, </w:t>
      </w:r>
      <w:r w:rsidR="00594979">
        <w:t>NAB asserts</w:t>
      </w:r>
      <w:r w:rsidRPr="00813773" w:rsidR="001234CB">
        <w:rPr>
          <w:szCs w:val="22"/>
        </w:rPr>
        <w:t xml:space="preserve"> that</w:t>
      </w:r>
      <w:r w:rsidRPr="00813773" w:rsidR="00BD3793">
        <w:rPr>
          <w:szCs w:val="22"/>
        </w:rPr>
        <w:t xml:space="preserve"> </w:t>
      </w:r>
      <w:r w:rsidR="00813773">
        <w:rPr>
          <w:szCs w:val="22"/>
        </w:rPr>
        <w:t xml:space="preserve">the rule helps prevent interference because it clarifies the responsibilities of </w:t>
      </w:r>
      <w:r w:rsidRPr="00813773" w:rsidR="001234CB">
        <w:rPr>
          <w:szCs w:val="22"/>
        </w:rPr>
        <w:t>broadcasters prior to and during the construction of new facilities.</w:t>
      </w:r>
      <w:r>
        <w:rPr>
          <w:rStyle w:val="FootnoteReference"/>
          <w:sz w:val="22"/>
          <w:szCs w:val="22"/>
        </w:rPr>
        <w:footnoteReference w:id="34"/>
      </w:r>
      <w:r w:rsidRPr="00813773" w:rsidR="001234CB">
        <w:rPr>
          <w:szCs w:val="22"/>
        </w:rPr>
        <w:t xml:space="preserve">  </w:t>
      </w:r>
      <w:r w:rsidR="00594979">
        <w:rPr>
          <w:szCs w:val="22"/>
        </w:rPr>
        <w:t xml:space="preserve">We find </w:t>
      </w:r>
      <w:r w:rsidR="00813773">
        <w:rPr>
          <w:szCs w:val="22"/>
        </w:rPr>
        <w:t>NAB</w:t>
      </w:r>
      <w:r w:rsidR="00594979">
        <w:rPr>
          <w:szCs w:val="22"/>
        </w:rPr>
        <w:t xml:space="preserve">’s </w:t>
      </w:r>
      <w:r w:rsidR="00F24CEE">
        <w:rPr>
          <w:szCs w:val="22"/>
        </w:rPr>
        <w:t>argument</w:t>
      </w:r>
      <w:r w:rsidR="00A823B2">
        <w:rPr>
          <w:szCs w:val="22"/>
        </w:rPr>
        <w:t xml:space="preserve"> on this issue</w:t>
      </w:r>
      <w:r w:rsidR="00F24CEE">
        <w:rPr>
          <w:szCs w:val="22"/>
        </w:rPr>
        <w:t xml:space="preserve"> </w:t>
      </w:r>
      <w:r w:rsidR="00594979">
        <w:rPr>
          <w:szCs w:val="22"/>
        </w:rPr>
        <w:t>is persuasive</w:t>
      </w:r>
      <w:r w:rsidR="00F24CEE">
        <w:rPr>
          <w:szCs w:val="22"/>
        </w:rPr>
        <w:t>.</w:t>
      </w:r>
      <w:r w:rsidR="00813773">
        <w:rPr>
          <w:szCs w:val="22"/>
        </w:rPr>
        <w:t xml:space="preserve">  </w:t>
      </w:r>
      <w:r w:rsidRPr="00813773" w:rsidR="002F49DD">
        <w:rPr>
          <w:szCs w:val="22"/>
        </w:rPr>
        <w:t xml:space="preserve">Other comments express cursory support for eliminating the rule but </w:t>
      </w:r>
      <w:r w:rsidR="007417B0">
        <w:rPr>
          <w:szCs w:val="22"/>
        </w:rPr>
        <w:t xml:space="preserve">do </w:t>
      </w:r>
      <w:r w:rsidRPr="00813773" w:rsidR="002F49DD">
        <w:rPr>
          <w:szCs w:val="22"/>
        </w:rPr>
        <w:t xml:space="preserve">not address the </w:t>
      </w:r>
      <w:r w:rsidR="00F24CEE">
        <w:rPr>
          <w:szCs w:val="22"/>
        </w:rPr>
        <w:t xml:space="preserve">NAB’s key </w:t>
      </w:r>
      <w:r w:rsidRPr="00813773" w:rsidR="002F49DD">
        <w:rPr>
          <w:szCs w:val="22"/>
        </w:rPr>
        <w:t>concern</w:t>
      </w:r>
      <w:r w:rsidRPr="00813773" w:rsidR="00813773">
        <w:rPr>
          <w:szCs w:val="22"/>
        </w:rPr>
        <w:t xml:space="preserve"> (</w:t>
      </w:r>
      <w:r w:rsidR="007417B0">
        <w:rPr>
          <w:szCs w:val="22"/>
        </w:rPr>
        <w:t xml:space="preserve">with the </w:t>
      </w:r>
      <w:r w:rsidRPr="00813773" w:rsidR="00813773">
        <w:rPr>
          <w:szCs w:val="22"/>
        </w:rPr>
        <w:t>except</w:t>
      </w:r>
      <w:r w:rsidR="007417B0">
        <w:rPr>
          <w:szCs w:val="22"/>
        </w:rPr>
        <w:t>ion</w:t>
      </w:r>
      <w:r w:rsidRPr="00813773" w:rsidR="002F49DD">
        <w:rPr>
          <w:szCs w:val="22"/>
        </w:rPr>
        <w:t xml:space="preserve"> that Cohen, </w:t>
      </w:r>
      <w:r w:rsidRPr="00813773" w:rsidR="002F49DD">
        <w:rPr>
          <w:szCs w:val="22"/>
        </w:rPr>
        <w:t>Dippell</w:t>
      </w:r>
      <w:r w:rsidRPr="00813773" w:rsidR="002F49DD">
        <w:rPr>
          <w:szCs w:val="22"/>
        </w:rPr>
        <w:t xml:space="preserve"> and </w:t>
      </w:r>
      <w:r w:rsidRPr="00813773" w:rsidR="002F49DD">
        <w:rPr>
          <w:szCs w:val="22"/>
        </w:rPr>
        <w:t>Everist</w:t>
      </w:r>
      <w:r w:rsidRPr="00813773" w:rsidR="002F49DD">
        <w:rPr>
          <w:szCs w:val="22"/>
        </w:rPr>
        <w:t xml:space="preserve"> urges </w:t>
      </w:r>
      <w:r w:rsidR="00F24CEE">
        <w:rPr>
          <w:szCs w:val="22"/>
        </w:rPr>
        <w:t>us to</w:t>
      </w:r>
      <w:r w:rsidRPr="00813773" w:rsidR="002F49DD">
        <w:rPr>
          <w:szCs w:val="22"/>
        </w:rPr>
        <w:t xml:space="preserve"> leave the “newcomer policy” in place if the rule is eliminated</w:t>
      </w:r>
      <w:r w:rsidRPr="00813773" w:rsidR="00813773">
        <w:rPr>
          <w:szCs w:val="22"/>
        </w:rPr>
        <w:t>)</w:t>
      </w:r>
      <w:r w:rsidRPr="00813773" w:rsidR="002F49DD">
        <w:rPr>
          <w:szCs w:val="22"/>
        </w:rPr>
        <w:t xml:space="preserve">.  </w:t>
      </w:r>
      <w:r w:rsidR="00F24CEE">
        <w:rPr>
          <w:szCs w:val="22"/>
        </w:rPr>
        <w:t>Therefore, upon review of the record, w</w:t>
      </w:r>
      <w:r w:rsidRPr="00813773" w:rsidR="00577814">
        <w:rPr>
          <w:szCs w:val="22"/>
        </w:rPr>
        <w:t xml:space="preserve">e </w:t>
      </w:r>
      <w:r w:rsidR="00594979">
        <w:rPr>
          <w:szCs w:val="22"/>
        </w:rPr>
        <w:t>conclude</w:t>
      </w:r>
      <w:r w:rsidR="007417B0">
        <w:rPr>
          <w:szCs w:val="22"/>
        </w:rPr>
        <w:t xml:space="preserve"> that the rule provides useful guidance for broadcasters</w:t>
      </w:r>
      <w:r w:rsidR="007915AF">
        <w:rPr>
          <w:szCs w:val="22"/>
        </w:rPr>
        <w:t xml:space="preserve"> regarding their rights and obligations</w:t>
      </w:r>
      <w:r w:rsidR="007417B0">
        <w:rPr>
          <w:szCs w:val="22"/>
        </w:rPr>
        <w:t xml:space="preserve">.  We </w:t>
      </w:r>
      <w:r w:rsidRPr="00813773" w:rsidR="00577814">
        <w:rPr>
          <w:szCs w:val="22"/>
        </w:rPr>
        <w:t xml:space="preserve">do not wish to introduce </w:t>
      </w:r>
      <w:r w:rsidRPr="00813773">
        <w:rPr>
          <w:szCs w:val="22"/>
        </w:rPr>
        <w:t xml:space="preserve">uncertainty or ambiguity </w:t>
      </w:r>
      <w:r w:rsidRPr="00813773" w:rsidR="00F92C2F">
        <w:rPr>
          <w:szCs w:val="22"/>
        </w:rPr>
        <w:t xml:space="preserve">into situations </w:t>
      </w:r>
      <w:r w:rsidRPr="00813773">
        <w:rPr>
          <w:szCs w:val="22"/>
        </w:rPr>
        <w:t>where it does not currently exist</w:t>
      </w:r>
      <w:r w:rsidRPr="00813773" w:rsidR="00577814">
        <w:rPr>
          <w:szCs w:val="22"/>
        </w:rPr>
        <w:t xml:space="preserve">.  Therefore, </w:t>
      </w:r>
      <w:r w:rsidRPr="00813773" w:rsidR="00F12892">
        <w:rPr>
          <w:szCs w:val="22"/>
        </w:rPr>
        <w:t>we leave section 73.316(d) in effect.</w:t>
      </w:r>
      <w:r w:rsidR="00F12892">
        <w:t xml:space="preserve"> </w:t>
      </w:r>
      <w:r w:rsidR="00567D17">
        <w:t xml:space="preserve"> </w:t>
      </w:r>
    </w:p>
    <w:p w:rsidR="00F12892" w:rsidP="001234CB" w14:paraId="4720BCA7" w14:textId="38BA2A1C">
      <w:pPr>
        <w:pStyle w:val="ParaNum"/>
      </w:pPr>
      <w:r>
        <w:t xml:space="preserve">However, we </w:t>
      </w:r>
      <w:r w:rsidR="00445ECC">
        <w:t xml:space="preserve">take this opportunity to </w:t>
      </w:r>
      <w:r w:rsidR="00567D17">
        <w:t xml:space="preserve">correct a typographical </w:t>
      </w:r>
      <w:r w:rsidR="00445ECC">
        <w:t xml:space="preserve">error in </w:t>
      </w:r>
      <w:r w:rsidR="00492DB4">
        <w:t>section 73.316(d)</w:t>
      </w:r>
      <w:r w:rsidR="00567D17">
        <w:t xml:space="preserve"> that was introduced in 1984, when</w:t>
      </w:r>
      <w:r w:rsidR="001234CB">
        <w:t xml:space="preserve"> </w:t>
      </w:r>
      <w:r w:rsidR="00265555">
        <w:t>the Commission</w:t>
      </w:r>
      <w:r>
        <w:t xml:space="preserve"> </w:t>
      </w:r>
      <w:r w:rsidR="003F3F71">
        <w:t>converted the FM broadcast service rules to the metric system.</w:t>
      </w:r>
      <w:r>
        <w:rPr>
          <w:rStyle w:val="FootnoteReference"/>
        </w:rPr>
        <w:footnoteReference w:id="35"/>
      </w:r>
      <w:r w:rsidR="003F3F71">
        <w:t xml:space="preserve">  </w:t>
      </w:r>
      <w:r w:rsidR="00084ADA">
        <w:t>As part of this conversion</w:t>
      </w:r>
      <w:r>
        <w:t xml:space="preserve">, </w:t>
      </w:r>
      <w:r w:rsidR="00F92C2F">
        <w:t>the Commission</w:t>
      </w:r>
      <w:r>
        <w:t xml:space="preserve"> modified section 73.316(d) </w:t>
      </w:r>
      <w:r w:rsidR="003F3F71">
        <w:t>(then</w:t>
      </w:r>
      <w:r w:rsidR="00492DB4">
        <w:t xml:space="preserve"> numbered </w:t>
      </w:r>
      <w:r w:rsidR="003F3F71">
        <w:t xml:space="preserve">section 73.316(e)) </w:t>
      </w:r>
      <w:r>
        <w:t xml:space="preserve">by </w:t>
      </w:r>
      <w:r w:rsidR="00084ADA">
        <w:t>replacing</w:t>
      </w:r>
      <w:r w:rsidR="00265555">
        <w:t xml:space="preserve"> </w:t>
      </w:r>
      <w:r w:rsidR="00F92C2F">
        <w:t>“</w:t>
      </w:r>
      <w:r w:rsidR="003F3F71">
        <w:t>200</w:t>
      </w:r>
      <w:r w:rsidR="00265555">
        <w:t xml:space="preserve"> feet</w:t>
      </w:r>
      <w:r w:rsidR="00F92C2F">
        <w:t>”</w:t>
      </w:r>
      <w:r w:rsidR="00265555">
        <w:t xml:space="preserve"> </w:t>
      </w:r>
      <w:r w:rsidR="00084ADA">
        <w:t>with</w:t>
      </w:r>
      <w:r w:rsidR="00265555">
        <w:t xml:space="preserve"> </w:t>
      </w:r>
      <w:r w:rsidR="00F92C2F">
        <w:t>“</w:t>
      </w:r>
      <w:r w:rsidR="003F3F71">
        <w:t xml:space="preserve">60 </w:t>
      </w:r>
      <w:r w:rsidR="00265555">
        <w:t>meters</w:t>
      </w:r>
      <w:r w:rsidR="00A37CEB">
        <w:t>.</w:t>
      </w:r>
      <w:r w:rsidR="00F92C2F">
        <w:t>”</w:t>
      </w:r>
      <w:r>
        <w:rPr>
          <w:rStyle w:val="FootnoteReference"/>
        </w:rPr>
        <w:footnoteReference w:id="36"/>
      </w:r>
      <w:r w:rsidR="00A37CEB">
        <w:t xml:space="preserve">  </w:t>
      </w:r>
      <w:r w:rsidR="003F3F71">
        <w:t>At the same time, w</w:t>
      </w:r>
      <w:r w:rsidR="00A37CEB">
        <w:t xml:space="preserve">ithout </w:t>
      </w:r>
      <w:r w:rsidR="005C51F8">
        <w:t xml:space="preserve">notice or </w:t>
      </w:r>
      <w:r w:rsidR="005C51F8">
        <w:t>discussion</w:t>
      </w:r>
      <w:r w:rsidR="00A37CEB">
        <w:t>, the Commission</w:t>
      </w:r>
      <w:r w:rsidR="001234CB">
        <w:t xml:space="preserve"> replaced </w:t>
      </w:r>
      <w:r w:rsidR="00BD3793">
        <w:t xml:space="preserve">the word </w:t>
      </w:r>
      <w:r w:rsidR="001234CB">
        <w:t>“proximate” with “approximate</w:t>
      </w:r>
      <w:r w:rsidR="00265555">
        <w:t>.</w:t>
      </w:r>
      <w:r w:rsidR="001234CB">
        <w:t>”</w:t>
      </w:r>
      <w:r>
        <w:rPr>
          <w:rStyle w:val="FootnoteReference"/>
        </w:rPr>
        <w:footnoteReference w:id="37"/>
      </w:r>
      <w:r w:rsidR="00265555">
        <w:t xml:space="preserve"> </w:t>
      </w:r>
      <w:r w:rsidR="001234CB">
        <w:t xml:space="preserve"> We find that </w:t>
      </w:r>
      <w:r w:rsidR="00D50B7B">
        <w:t xml:space="preserve">“proximate” is </w:t>
      </w:r>
      <w:r w:rsidR="00BD3793">
        <w:t xml:space="preserve">the more usual and </w:t>
      </w:r>
      <w:r w:rsidR="00A37CEB">
        <w:t>appropriate</w:t>
      </w:r>
      <w:r w:rsidR="00BD3793">
        <w:t xml:space="preserve"> term</w:t>
      </w:r>
      <w:r w:rsidR="00A37CEB">
        <w:t xml:space="preserve"> </w:t>
      </w:r>
      <w:r w:rsidR="00D50B7B">
        <w:t>when discussing physical proximity</w:t>
      </w:r>
      <w:r w:rsidR="003F3F71">
        <w:t>, as here</w:t>
      </w:r>
      <w:r w:rsidR="00E3627C">
        <w:t xml:space="preserve">.  </w:t>
      </w:r>
      <w:r w:rsidR="00F92C2F">
        <w:t>Moreover</w:t>
      </w:r>
      <w:r w:rsidR="003F3F71">
        <w:t>, i</w:t>
      </w:r>
      <w:r w:rsidR="00445ECC">
        <w:t>t</w:t>
      </w:r>
      <w:r w:rsidR="00BD3793">
        <w:t xml:space="preserve"> was the </w:t>
      </w:r>
      <w:r w:rsidR="000E26E6">
        <w:t>term used</w:t>
      </w:r>
      <w:r w:rsidR="00BD3793">
        <w:t xml:space="preserve"> </w:t>
      </w:r>
      <w:r w:rsidR="00A46EAE">
        <w:t>in this rule prior to the 1984 metric conversion.</w:t>
      </w:r>
      <w:r>
        <w:rPr>
          <w:rStyle w:val="FootnoteReference"/>
        </w:rPr>
        <w:footnoteReference w:id="38"/>
      </w:r>
      <w:r w:rsidR="00A46EAE">
        <w:t xml:space="preserve">  </w:t>
      </w:r>
      <w:r w:rsidR="003F3F71">
        <w:t>Lastly</w:t>
      </w:r>
      <w:r w:rsidR="00A37CEB">
        <w:t>, it i</w:t>
      </w:r>
      <w:r w:rsidR="00D50B7B">
        <w:t>s consistent with</w:t>
      </w:r>
      <w:r w:rsidR="00A37CEB">
        <w:t xml:space="preserve"> the corre</w:t>
      </w:r>
      <w:r w:rsidR="00D50B7B">
        <w:t xml:space="preserve">sponding </w:t>
      </w:r>
      <w:r w:rsidR="00A37CEB">
        <w:t>TV service rules</w:t>
      </w:r>
      <w:r w:rsidR="00026FB4">
        <w:t>, which</w:t>
      </w:r>
      <w:r w:rsidR="00E3627C">
        <w:t xml:space="preserve"> </w:t>
      </w:r>
      <w:r w:rsidR="006B77CB">
        <w:t>retain</w:t>
      </w:r>
      <w:r w:rsidR="00026FB4">
        <w:t xml:space="preserve"> the </w:t>
      </w:r>
      <w:r w:rsidR="006B77CB">
        <w:t>use of</w:t>
      </w:r>
      <w:r w:rsidR="00026FB4">
        <w:t xml:space="preserve"> “proximate”</w:t>
      </w:r>
      <w:r w:rsidR="00445ECC">
        <w:t xml:space="preserve"> in th</w:t>
      </w:r>
      <w:r w:rsidR="00F92C2F">
        <w:t>is</w:t>
      </w:r>
      <w:r w:rsidR="00445ECC">
        <w:t xml:space="preserve"> same context.</w:t>
      </w:r>
      <w:r>
        <w:rPr>
          <w:rStyle w:val="FootnoteReference"/>
        </w:rPr>
        <w:footnoteReference w:id="39"/>
      </w:r>
      <w:r w:rsidR="00D50B7B">
        <w:t xml:space="preserve"> </w:t>
      </w:r>
      <w:r w:rsidR="00A37CEB">
        <w:t xml:space="preserve"> </w:t>
      </w:r>
      <w:r w:rsidR="00026FB4">
        <w:t>For these reasons</w:t>
      </w:r>
      <w:r w:rsidR="00A37CEB">
        <w:t xml:space="preserve">, </w:t>
      </w:r>
      <w:r w:rsidR="001F20D6">
        <w:t xml:space="preserve">we </w:t>
      </w:r>
      <w:r w:rsidR="00026FB4">
        <w:t xml:space="preserve">reinstate “proximate” </w:t>
      </w:r>
      <w:r w:rsidR="003F3F71">
        <w:t>instead</w:t>
      </w:r>
      <w:r w:rsidR="00445ECC">
        <w:t xml:space="preserve"> of “approximate” in </w:t>
      </w:r>
      <w:r w:rsidR="005C51F8">
        <w:t>section 73.316(d)</w:t>
      </w:r>
      <w:r w:rsidR="00A37CEB">
        <w:t>.</w:t>
      </w:r>
      <w:r>
        <w:rPr>
          <w:rStyle w:val="FootnoteReference"/>
        </w:rPr>
        <w:footnoteReference w:id="40"/>
      </w:r>
      <w:r w:rsidRPr="001F20D6" w:rsidR="001F20D6">
        <w:t xml:space="preserve"> </w:t>
      </w:r>
      <w:r w:rsidR="00A37CEB">
        <w:t xml:space="preserve"> </w:t>
      </w:r>
    </w:p>
    <w:p w:rsidR="00F12892" w:rsidP="00253246" w14:paraId="7051EA0C" w14:textId="77777777">
      <w:pPr>
        <w:pStyle w:val="Heading2"/>
      </w:pPr>
      <w:r>
        <w:t>NCE FM Class D Second-Adjacent Channel Interference Ratio</w:t>
      </w:r>
    </w:p>
    <w:p w:rsidR="00C03792" w:rsidP="00253246" w14:paraId="1265CFEA" w14:textId="6566F05F">
      <w:pPr>
        <w:pStyle w:val="ParaNum"/>
        <w:widowControl/>
      </w:pPr>
      <w:r>
        <w:t xml:space="preserve">As proposed in the </w:t>
      </w:r>
      <w:r>
        <w:rPr>
          <w:i/>
          <w:iCs/>
        </w:rPr>
        <w:t>NPRM</w:t>
      </w:r>
      <w:r>
        <w:t>, we</w:t>
      </w:r>
      <w:r w:rsidR="00F12892">
        <w:t xml:space="preserve"> </w:t>
      </w:r>
      <w:r w:rsidR="00492DB4">
        <w:t xml:space="preserve">update the </w:t>
      </w:r>
      <w:r w:rsidR="00A542F0">
        <w:t xml:space="preserve">section 73.509(b) </w:t>
      </w:r>
      <w:r w:rsidRPr="00531D23" w:rsidR="00492DB4">
        <w:t>signal strength contour overlap requirements for NCE FM Class D stations</w:t>
      </w:r>
      <w:r w:rsidR="00492DB4">
        <w:t xml:space="preserve"> </w:t>
      </w:r>
      <w:r w:rsidRPr="00531D23" w:rsidR="00492DB4">
        <w:t xml:space="preserve">to harmonize with the </w:t>
      </w:r>
      <w:r w:rsidR="00961E42">
        <w:t xml:space="preserve">less restrictive </w:t>
      </w:r>
      <w:r w:rsidR="00A542F0">
        <w:t>section 73.509(a)</w:t>
      </w:r>
      <w:r w:rsidRPr="00531D23" w:rsidR="00A542F0">
        <w:t xml:space="preserve"> </w:t>
      </w:r>
      <w:r w:rsidRPr="00531D23" w:rsidR="00492DB4">
        <w:t xml:space="preserve">contour overlap requirements </w:t>
      </w:r>
      <w:r w:rsidR="00961E42">
        <w:t>applicable to</w:t>
      </w:r>
      <w:r w:rsidRPr="00531D23" w:rsidR="00492DB4">
        <w:t xml:space="preserve"> all other NCE FM station</w:t>
      </w:r>
      <w:r w:rsidR="00A542F0">
        <w:t xml:space="preserve"> classes</w:t>
      </w:r>
      <w:r w:rsidR="00F12892">
        <w:t>.</w:t>
      </w:r>
      <w:r>
        <w:rPr>
          <w:rStyle w:val="FootnoteReference"/>
        </w:rPr>
        <w:footnoteReference w:id="41"/>
      </w:r>
      <w:r w:rsidR="00F12892">
        <w:t xml:space="preserve">  </w:t>
      </w:r>
      <w:r w:rsidR="00ED4DA0">
        <w:t>Four commenters support this proposal and no commenters oppose it.</w:t>
      </w:r>
      <w:r>
        <w:rPr>
          <w:rStyle w:val="FootnoteReference"/>
        </w:rPr>
        <w:footnoteReference w:id="42"/>
      </w:r>
      <w:r w:rsidR="00ED4DA0">
        <w:t xml:space="preserve">  We agree with </w:t>
      </w:r>
      <w:r w:rsidR="005F0353">
        <w:t xml:space="preserve">the </w:t>
      </w:r>
      <w:r w:rsidR="00ED4DA0">
        <w:t xml:space="preserve">commenters that </w:t>
      </w:r>
      <w:r w:rsidR="00961E42">
        <w:t xml:space="preserve">the less restrictive requirements have proven effective for other station classes and that </w:t>
      </w:r>
      <w:r w:rsidR="00492DB4">
        <w:t>there is no reason to continue treating Class D stations differently in this context</w:t>
      </w:r>
      <w:r w:rsidR="00ED4DA0">
        <w:t>.</w:t>
      </w:r>
      <w:r>
        <w:rPr>
          <w:rStyle w:val="FootnoteReference"/>
        </w:rPr>
        <w:footnoteReference w:id="43"/>
      </w:r>
      <w:r w:rsidR="00ED4DA0">
        <w:t xml:space="preserve">  </w:t>
      </w:r>
      <w:r w:rsidR="00AA2728">
        <w:t xml:space="preserve">When it </w:t>
      </w:r>
      <w:r w:rsidR="00F8568A">
        <w:t>modified</w:t>
      </w:r>
      <w:r w:rsidR="00AA2728">
        <w:t xml:space="preserve"> section 73.509(a) in 2000 </w:t>
      </w:r>
      <w:r w:rsidR="00F8568A">
        <w:t xml:space="preserve">to specify a 100 dBu interfering contour for second-adjacent channel NCE FM stations, </w:t>
      </w:r>
      <w:r>
        <w:t>the Commission deferred including</w:t>
      </w:r>
      <w:r w:rsidR="00AA2728">
        <w:t xml:space="preserve"> Class D NCE stations </w:t>
      </w:r>
      <w:r w:rsidR="005C51F8">
        <w:t xml:space="preserve">in order </w:t>
      </w:r>
      <w:r w:rsidR="00AA2728">
        <w:t>to accommodate the establishment of the LPFM service.</w:t>
      </w:r>
      <w:r>
        <w:rPr>
          <w:rStyle w:val="FootnoteReference"/>
        </w:rPr>
        <w:footnoteReference w:id="44"/>
      </w:r>
      <w:r w:rsidR="00AA2728">
        <w:t xml:space="preserve">  Because the LPFM service is now mature, </w:t>
      </w:r>
      <w:r w:rsidR="00772FD2">
        <w:t>it is appropriate to extend</w:t>
      </w:r>
      <w:r w:rsidR="00AA2728">
        <w:t xml:space="preserve"> the </w:t>
      </w:r>
      <w:r w:rsidR="005C51F8">
        <w:t>general</w:t>
      </w:r>
      <w:r w:rsidR="00AA2728">
        <w:t xml:space="preserve"> contour overlap limits to Class D NCE stations.  </w:t>
      </w:r>
      <w:r w:rsidR="00961E42">
        <w:t>W</w:t>
      </w:r>
      <w:r w:rsidRPr="00C03792" w:rsidR="00ED4DA0">
        <w:t>e</w:t>
      </w:r>
      <w:r w:rsidR="00F12892">
        <w:t xml:space="preserve"> anticipate that </w:t>
      </w:r>
      <w:r w:rsidR="00961E42">
        <w:t>the less preclusive requirement will create opportunities for NCE stations to increase power and coverage, as well as provide them with greater site selection flexibility</w:t>
      </w:r>
      <w:r w:rsidR="00F12892">
        <w:t>.</w:t>
      </w:r>
      <w:r>
        <w:rPr>
          <w:rStyle w:val="FootnoteReference"/>
        </w:rPr>
        <w:footnoteReference w:id="45"/>
      </w:r>
      <w:r w:rsidR="00F12892">
        <w:t xml:space="preserve">  </w:t>
      </w:r>
      <w:r w:rsidR="005F0353">
        <w:t>Accordingly, we amend section 73.509(b) as set out in Appendix B.</w:t>
      </w:r>
      <w:r w:rsidR="00032984">
        <w:t xml:space="preserve">  In addition, to ensure clarity and consistency throughout this section and to conform to </w:t>
      </w:r>
      <w:r w:rsidRPr="00500C46" w:rsidR="00430E13">
        <w:rPr>
          <w:color w:val="3D3D3D"/>
          <w:szCs w:val="22"/>
          <w:shd w:val="clear" w:color="auto" w:fill="FFFFFF"/>
        </w:rPr>
        <w:t xml:space="preserve">the publishing conventions of the </w:t>
      </w:r>
      <w:r w:rsidRPr="00500C46" w:rsidR="00430E13">
        <w:rPr>
          <w:color w:val="3D3D3D"/>
          <w:szCs w:val="22"/>
          <w:shd w:val="clear" w:color="auto" w:fill="FFFFFF"/>
        </w:rPr>
        <w:t>National Archives and Records Administration</w:t>
      </w:r>
      <w:r w:rsidR="00430E13">
        <w:rPr>
          <w:color w:val="3D3D3D"/>
          <w:shd w:val="clear" w:color="auto" w:fill="FFFFFF"/>
        </w:rPr>
        <w:t>’</w:t>
      </w:r>
      <w:r w:rsidRPr="00500C46" w:rsidR="00430E13">
        <w:rPr>
          <w:color w:val="3D3D3D"/>
          <w:szCs w:val="22"/>
          <w:shd w:val="clear" w:color="auto" w:fill="FFFFFF"/>
        </w:rPr>
        <w:t>s Office of the</w:t>
      </w:r>
      <w:r w:rsidR="00430E13">
        <w:t xml:space="preserve"> </w:t>
      </w:r>
      <w:r w:rsidR="00032984">
        <w:t>Federal Register, we make non-substantive and formatting edits to the table contained in section 73.509(a), as set out in Appendix B.</w:t>
      </w:r>
      <w:r>
        <w:rPr>
          <w:rStyle w:val="FootnoteReference"/>
        </w:rPr>
        <w:footnoteReference w:id="46"/>
      </w:r>
    </w:p>
    <w:p w:rsidR="00F12892" w:rsidP="00253246" w14:paraId="6061CD21" w14:textId="77777777">
      <w:pPr>
        <w:pStyle w:val="Heading2"/>
      </w:pPr>
      <w:r>
        <w:t>Protection for Grandfathered Common Carriers in Alaska in the 76-100 MHz Band</w:t>
      </w:r>
    </w:p>
    <w:p w:rsidR="00F12892" w:rsidP="00F12892" w14:paraId="2307523E" w14:textId="488F22D8">
      <w:pPr>
        <w:pStyle w:val="ParaNum"/>
      </w:pPr>
      <w:bookmarkStart w:id="11" w:name="_Hlk72504200"/>
      <w:r>
        <w:t xml:space="preserve">We </w:t>
      </w:r>
      <w:r w:rsidR="00814938">
        <w:t xml:space="preserve">adopt the proposal in the </w:t>
      </w:r>
      <w:r w:rsidR="00814938">
        <w:rPr>
          <w:i/>
          <w:iCs/>
        </w:rPr>
        <w:t xml:space="preserve">NPRM </w:t>
      </w:r>
      <w:r w:rsidR="00814938">
        <w:t xml:space="preserve">to </w:t>
      </w:r>
      <w:r w:rsidR="00415B33">
        <w:t>eliminate</w:t>
      </w:r>
      <w:r>
        <w:t xml:space="preserve"> </w:t>
      </w:r>
      <w:r w:rsidR="002455AF">
        <w:t xml:space="preserve">four </w:t>
      </w:r>
      <w:r w:rsidR="00961E42">
        <w:t xml:space="preserve">obsolete </w:t>
      </w:r>
      <w:r w:rsidR="002455AF">
        <w:t>rule</w:t>
      </w:r>
      <w:r w:rsidR="005B7AB3">
        <w:t xml:space="preserve"> provisions</w:t>
      </w:r>
      <w:r>
        <w:rPr>
          <w:rStyle w:val="FootnoteReference"/>
        </w:rPr>
        <w:footnoteReference w:id="47"/>
      </w:r>
      <w:r w:rsidR="00961E42">
        <w:t xml:space="preserve"> </w:t>
      </w:r>
      <w:r w:rsidR="00403E54">
        <w:t xml:space="preserve">that </w:t>
      </w:r>
      <w:r w:rsidR="00961E42">
        <w:t>requir</w:t>
      </w:r>
      <w:r w:rsidR="00403E54">
        <w:t>e</w:t>
      </w:r>
      <w:r w:rsidR="00961E42">
        <w:t xml:space="preserve"> </w:t>
      </w:r>
      <w:r>
        <w:t xml:space="preserve">radio stations operating in the 76-100 MHz band </w:t>
      </w:r>
      <w:r w:rsidR="00961E42">
        <w:t>to</w:t>
      </w:r>
      <w:r w:rsidR="005C51F8">
        <w:t xml:space="preserve"> </w:t>
      </w:r>
      <w:r>
        <w:t xml:space="preserve">protect </w:t>
      </w:r>
      <w:r w:rsidR="005C51F8">
        <w:t xml:space="preserve">grandfathered </w:t>
      </w:r>
      <w:r>
        <w:t>common carrier services in Alaska</w:t>
      </w:r>
      <w:r w:rsidR="00391522">
        <w:t>.</w:t>
      </w:r>
      <w:r>
        <w:rPr>
          <w:rStyle w:val="FootnoteReference"/>
        </w:rPr>
        <w:footnoteReference w:id="48"/>
      </w:r>
      <w:r w:rsidR="00391522">
        <w:t xml:space="preserve">  </w:t>
      </w:r>
      <w:r w:rsidR="00415B33">
        <w:t>Our licensing databases indicate that there are no common carrier services remaining in this band in Alaska.  F</w:t>
      </w:r>
      <w:r w:rsidR="00391522">
        <w:t>our commenters support this change and none oppose it.</w:t>
      </w:r>
      <w:r>
        <w:rPr>
          <w:rStyle w:val="FootnoteReference"/>
        </w:rPr>
        <w:footnoteReference w:id="49"/>
      </w:r>
      <w:r w:rsidR="00391522">
        <w:t xml:space="preserve">  </w:t>
      </w:r>
      <w:r w:rsidR="002455AF">
        <w:t xml:space="preserve">Therefore, </w:t>
      </w:r>
      <w:r w:rsidR="00415B33">
        <w:t xml:space="preserve">we delete </w:t>
      </w:r>
      <w:r w:rsidR="00F706BD">
        <w:t>sections 73.501(b), 74.1202(b)(3), the second sentence of 74.702(a)(1), and the second sentence of 74.786(b)</w:t>
      </w:r>
      <w:r w:rsidR="005B7AB3">
        <w:t xml:space="preserve"> </w:t>
      </w:r>
      <w:r w:rsidR="00F706BD">
        <w:t>a</w:t>
      </w:r>
      <w:r w:rsidR="00415B33">
        <w:t>s</w:t>
      </w:r>
      <w:r w:rsidR="00391522">
        <w:t xml:space="preserve"> </w:t>
      </w:r>
      <w:r w:rsidR="00F706BD">
        <w:t>unnecessary</w:t>
      </w:r>
      <w:r w:rsidR="002455AF">
        <w:t xml:space="preserve">. </w:t>
      </w:r>
      <w:r w:rsidR="00391522">
        <w:t xml:space="preserve"> </w:t>
      </w:r>
    </w:p>
    <w:p w:rsidR="00F12892" w:rsidRPr="008728CB" w:rsidP="00253246" w14:paraId="4DC225C1" w14:textId="77777777">
      <w:pPr>
        <w:pStyle w:val="Heading2"/>
      </w:pPr>
      <w:r>
        <w:t>AM Fill-in Area Definition</w:t>
      </w:r>
      <w:bookmarkEnd w:id="11"/>
    </w:p>
    <w:p w:rsidR="00F12892" w:rsidRPr="00226544" w:rsidP="00F12892" w14:paraId="2C2F480A" w14:textId="5B59F826">
      <w:pPr>
        <w:pStyle w:val="ParaNum"/>
      </w:pPr>
      <w:bookmarkStart w:id="12" w:name="_Hlk90396247"/>
      <w:r>
        <w:t xml:space="preserve">As proposed in the </w:t>
      </w:r>
      <w:r>
        <w:rPr>
          <w:i/>
          <w:iCs/>
        </w:rPr>
        <w:t>NPRM,</w:t>
      </w:r>
      <w:r>
        <w:rPr>
          <w:rStyle w:val="FootnoteReference"/>
        </w:rPr>
        <w:footnoteReference w:id="50"/>
      </w:r>
      <w:r>
        <w:rPr>
          <w:i/>
          <w:iCs/>
        </w:rPr>
        <w:t xml:space="preserve"> </w:t>
      </w:r>
      <w:r>
        <w:t>w</w:t>
      </w:r>
      <w:r>
        <w:t xml:space="preserve">e amend the definition of “AM fill-in area” set out in section </w:t>
      </w:r>
      <w:r w:rsidRPr="003207A3">
        <w:t>74.1201(j)</w:t>
      </w:r>
      <w:r>
        <w:t xml:space="preserve"> of the rules to conform to the </w:t>
      </w:r>
      <w:r w:rsidR="004D1B4B">
        <w:t xml:space="preserve">more recent definition </w:t>
      </w:r>
      <w:r>
        <w:t>in section 74.1201(g)</w:t>
      </w:r>
      <w:r w:rsidR="004D1B4B">
        <w:t>, which states</w:t>
      </w:r>
      <w:r>
        <w:t xml:space="preserve"> that the “</w:t>
      </w:r>
      <w:r w:rsidRPr="007F74CC">
        <w:t xml:space="preserve">coverage contour of an FM translator rebroadcasting an AM radio broadcast station as its primary station must be contained within the </w:t>
      </w:r>
      <w:r w:rsidRPr="007F74CC">
        <w:rPr>
          <w:i/>
          <w:iCs/>
        </w:rPr>
        <w:t xml:space="preserve">greater </w:t>
      </w:r>
      <w:r w:rsidRPr="007F74CC">
        <w:t>of either the 2 mV/m daytime contour of the AM station or a 25–mile (40 km) radius centered at the AM transmitter site.</w:t>
      </w:r>
      <w:r>
        <w:t>”</w:t>
      </w:r>
      <w:r>
        <w:rPr>
          <w:rStyle w:val="FootnoteReference"/>
        </w:rPr>
        <w:footnoteReference w:id="51"/>
      </w:r>
      <w:r w:rsidRPr="003207A3">
        <w:t xml:space="preserve"> </w:t>
      </w:r>
      <w:r>
        <w:t xml:space="preserve"> </w:t>
      </w:r>
      <w:r w:rsidR="007A61C4">
        <w:t xml:space="preserve">Currently, section 74.1201(j) </w:t>
      </w:r>
      <w:r w:rsidR="000876B4">
        <w:t xml:space="preserve">refers to the </w:t>
      </w:r>
      <w:r w:rsidR="000876B4">
        <w:rPr>
          <w:i/>
          <w:iCs/>
        </w:rPr>
        <w:t xml:space="preserve">lesser </w:t>
      </w:r>
      <w:r w:rsidR="000876B4">
        <w:t xml:space="preserve">of these two distances.  </w:t>
      </w:r>
      <w:r w:rsidR="00415B33">
        <w:t>Five commenters support this change and no</w:t>
      </w:r>
      <w:r w:rsidR="00696668">
        <w:t xml:space="preserve"> commenters</w:t>
      </w:r>
      <w:r w:rsidR="00415B33">
        <w:t xml:space="preserve"> oppose it.</w:t>
      </w:r>
      <w:r>
        <w:rPr>
          <w:rStyle w:val="FootnoteReference"/>
        </w:rPr>
        <w:footnoteReference w:id="52"/>
      </w:r>
      <w:r w:rsidR="00415B33">
        <w:t xml:space="preserve">  NAB observes that</w:t>
      </w:r>
      <w:r w:rsidR="004D1B4B">
        <w:t xml:space="preserve">, as it stands, </w:t>
      </w:r>
      <w:r w:rsidR="00415B33">
        <w:t>section 74.1201(j) “may inadvertently prevent many AM stations from operating FM translators within their 2 mV/m contour.”</w:t>
      </w:r>
      <w:r>
        <w:rPr>
          <w:rStyle w:val="FootnoteReference"/>
        </w:rPr>
        <w:footnoteReference w:id="53"/>
      </w:r>
      <w:r w:rsidR="00415B33">
        <w:t xml:space="preserve"> </w:t>
      </w:r>
      <w:r w:rsidR="005F0353">
        <w:t>We agree.  Accordingly</w:t>
      </w:r>
      <w:r w:rsidR="00415B33">
        <w:t>, t</w:t>
      </w:r>
      <w:r w:rsidR="000876B4">
        <w:t xml:space="preserve">o </w:t>
      </w:r>
      <w:r w:rsidR="004D1B4B">
        <w:t xml:space="preserve">create consistency across the relevant rules and </w:t>
      </w:r>
      <w:r w:rsidR="007A61C4">
        <w:t xml:space="preserve">eliminate any </w:t>
      </w:r>
      <w:r w:rsidR="004D1B4B">
        <w:t>uncertainty</w:t>
      </w:r>
      <w:r w:rsidR="007A61C4">
        <w:t xml:space="preserve"> regarding the definition of an AM fill-in area</w:t>
      </w:r>
      <w:r w:rsidR="009570E0">
        <w:t xml:space="preserve">, we amend section 74.1201(j) to </w:t>
      </w:r>
      <w:r w:rsidR="00D13E00">
        <w:t>define a</w:t>
      </w:r>
      <w:r w:rsidR="00565AFA">
        <w:t>n</w:t>
      </w:r>
      <w:r w:rsidR="00D13E00">
        <w:t xml:space="preserve"> AM fill-in area as</w:t>
      </w:r>
      <w:r w:rsidR="00E47EF5">
        <w:t>:</w:t>
      </w:r>
      <w:r w:rsidR="004D1B4B">
        <w:t xml:space="preserve"> </w:t>
      </w:r>
      <w:r w:rsidR="00D13E00">
        <w:t>“</w:t>
      </w:r>
      <w:r w:rsidR="00D13E00">
        <w:rPr>
          <w:szCs w:val="24"/>
        </w:rPr>
        <w:t>T</w:t>
      </w:r>
      <w:r w:rsidRPr="0048207A" w:rsidR="00D13E00">
        <w:rPr>
          <w:szCs w:val="24"/>
        </w:rPr>
        <w:t>he area within the greater of the 2 mV/m daytime contour of the AM radio broadcast station being rebroadcast or a 25–mile (40 km) radius centered at the AM transmitter site.</w:t>
      </w:r>
      <w:r w:rsidR="00D13E00">
        <w:rPr>
          <w:szCs w:val="24"/>
        </w:rPr>
        <w:t>”</w:t>
      </w:r>
      <w:r w:rsidR="009570E0">
        <w:t xml:space="preserve"> </w:t>
      </w:r>
      <w:r w:rsidR="000876B4">
        <w:t xml:space="preserve"> This change harmonizes the </w:t>
      </w:r>
      <w:r w:rsidR="00E47EF5">
        <w:t xml:space="preserve">various </w:t>
      </w:r>
      <w:r w:rsidR="000876B4">
        <w:t xml:space="preserve">rules governing fill-in translator transmitter siting and does not affect the </w:t>
      </w:r>
      <w:r w:rsidR="004D1B4B">
        <w:t xml:space="preserve">signal </w:t>
      </w:r>
      <w:r w:rsidR="000876B4">
        <w:t xml:space="preserve">coverage requirement </w:t>
      </w:r>
      <w:r w:rsidR="00D13E00">
        <w:t>set out in</w:t>
      </w:r>
      <w:r w:rsidR="000876B4">
        <w:t xml:space="preserve"> section 74.1201(g).  </w:t>
      </w:r>
    </w:p>
    <w:bookmarkEnd w:id="12"/>
    <w:p w:rsidR="00F12892" w:rsidP="00253246" w14:paraId="2CEB62D4" w14:textId="23613AAC">
      <w:pPr>
        <w:pStyle w:val="Heading2"/>
      </w:pPr>
      <w:r>
        <w:t xml:space="preserve">International </w:t>
      </w:r>
      <w:r w:rsidR="0076616D">
        <w:t>Coordinations</w:t>
      </w:r>
    </w:p>
    <w:p w:rsidR="00F12892" w:rsidP="00F12892" w14:paraId="5D3B2586" w14:textId="1527697A">
      <w:pPr>
        <w:pStyle w:val="ParaNum"/>
      </w:pPr>
      <w:r>
        <w:t xml:space="preserve">We adopt </w:t>
      </w:r>
      <w:r w:rsidR="00814938">
        <w:t xml:space="preserve">the proposal in the </w:t>
      </w:r>
      <w:r w:rsidR="00814938">
        <w:rPr>
          <w:i/>
          <w:iCs/>
        </w:rPr>
        <w:t>NPRM</w:t>
      </w:r>
      <w:r>
        <w:rPr>
          <w:rStyle w:val="FootnoteReference"/>
        </w:rPr>
        <w:footnoteReference w:id="54"/>
      </w:r>
      <w:r w:rsidRPr="00565AFA">
        <w:t xml:space="preserve"> </w:t>
      </w:r>
      <w:r>
        <w:t>to update</w:t>
      </w:r>
      <w:r>
        <w:t xml:space="preserve"> </w:t>
      </w:r>
      <w:r w:rsidR="007A61C4">
        <w:t xml:space="preserve">sections 73.207(b) and 74.1235(d) </w:t>
      </w:r>
      <w:r>
        <w:t xml:space="preserve">to comport with the </w:t>
      </w:r>
      <w:r w:rsidR="00D13E00">
        <w:t>relevant terms</w:t>
      </w:r>
      <w:r w:rsidRPr="004D7D2F">
        <w:rPr>
          <w:rStyle w:val="normaltextrun"/>
        </w:rPr>
        <w:t xml:space="preserve"> </w:t>
      </w:r>
      <w:r w:rsidR="00D13E00">
        <w:rPr>
          <w:rStyle w:val="normaltextrun"/>
        </w:rPr>
        <w:t xml:space="preserve">of the </w:t>
      </w:r>
      <w:r w:rsidRPr="00B8767E">
        <w:rPr>
          <w:rStyle w:val="normaltextrun"/>
          <w:i/>
          <w:iCs/>
        </w:rPr>
        <w:t>1992 U</w:t>
      </w:r>
      <w:r>
        <w:rPr>
          <w:rStyle w:val="normaltextrun"/>
          <w:i/>
          <w:iCs/>
        </w:rPr>
        <w:t>.</w:t>
      </w:r>
      <w:r w:rsidRPr="00B8767E">
        <w:rPr>
          <w:rStyle w:val="normaltextrun"/>
          <w:i/>
          <w:iCs/>
        </w:rPr>
        <w:t>S</w:t>
      </w:r>
      <w:r>
        <w:rPr>
          <w:rStyle w:val="normaltextrun"/>
          <w:i/>
          <w:iCs/>
        </w:rPr>
        <w:t>.</w:t>
      </w:r>
      <w:r w:rsidRPr="00B8767E">
        <w:rPr>
          <w:rStyle w:val="normaltextrun"/>
          <w:i/>
          <w:iCs/>
        </w:rPr>
        <w:t>-Mexico FM Broadcasting Agreement</w:t>
      </w:r>
      <w:r>
        <w:rPr>
          <w:rStyle w:val="FootnoteReference"/>
        </w:rPr>
        <w:footnoteReference w:id="55"/>
      </w:r>
      <w:r w:rsidRPr="00B8767E">
        <w:rPr>
          <w:rStyle w:val="normaltextrun"/>
          <w:i/>
          <w:iCs/>
        </w:rPr>
        <w:t xml:space="preserve"> </w:t>
      </w:r>
      <w:r w:rsidRPr="00B8767E">
        <w:rPr>
          <w:rStyle w:val="normaltextrun"/>
        </w:rPr>
        <w:t xml:space="preserve">and the </w:t>
      </w:r>
      <w:r w:rsidRPr="00B8767E">
        <w:rPr>
          <w:rStyle w:val="normaltextrun"/>
          <w:i/>
          <w:iCs/>
        </w:rPr>
        <w:t>1991 U</w:t>
      </w:r>
      <w:r>
        <w:rPr>
          <w:rStyle w:val="normaltextrun"/>
          <w:i/>
          <w:iCs/>
        </w:rPr>
        <w:t>.</w:t>
      </w:r>
      <w:r w:rsidRPr="00B8767E">
        <w:rPr>
          <w:rStyle w:val="normaltextrun"/>
          <w:i/>
          <w:iCs/>
        </w:rPr>
        <w:t>S</w:t>
      </w:r>
      <w:r>
        <w:rPr>
          <w:rStyle w:val="normaltextrun"/>
          <w:i/>
          <w:iCs/>
        </w:rPr>
        <w:t>.</w:t>
      </w:r>
      <w:r w:rsidRPr="00B8767E">
        <w:rPr>
          <w:rStyle w:val="normaltextrun"/>
          <w:i/>
          <w:iCs/>
        </w:rPr>
        <w:t>-Canada FM Broadcasting Agreement</w:t>
      </w:r>
      <w:r w:rsidR="006700FE">
        <w:rPr>
          <w:rStyle w:val="normaltextrun"/>
        </w:rPr>
        <w:t>, as amended</w:t>
      </w:r>
      <w:r w:rsidRPr="00B8767E">
        <w:t>.</w:t>
      </w:r>
      <w:r>
        <w:rPr>
          <w:rStyle w:val="FootnoteReference"/>
        </w:rPr>
        <w:footnoteReference w:id="56"/>
      </w:r>
      <w:r w:rsidRPr="00B8767E">
        <w:t xml:space="preserve">  </w:t>
      </w:r>
      <w:r w:rsidR="00CB155D">
        <w:t>Four commenters support the</w:t>
      </w:r>
      <w:r w:rsidR="005F0353">
        <w:t xml:space="preserve"> proposed</w:t>
      </w:r>
      <w:r w:rsidR="00CB155D">
        <w:t xml:space="preserve"> changes and none oppose them</w:t>
      </w:r>
      <w:r w:rsidR="000D133F">
        <w:t>, although NAB requests grandfathering for Class A stations that do not satisfy the revised spacing requirements, as discussed below</w:t>
      </w:r>
      <w:r w:rsidR="00CB155D">
        <w:t>.</w:t>
      </w:r>
      <w:r>
        <w:rPr>
          <w:rStyle w:val="FootnoteReference"/>
        </w:rPr>
        <w:footnoteReference w:id="57"/>
      </w:r>
      <w:r w:rsidR="00CB155D">
        <w:t xml:space="preserve">  </w:t>
      </w:r>
      <w:r w:rsidR="00803C6A">
        <w:t xml:space="preserve">In adopting this proposal, we address two technical clarifications requested by NAB: the treatment of Class C0 stations in section 73.207(b)(3) and the methodology to be used when calculating spacing distances under sections 73.207(b)(2) and (3).  </w:t>
      </w:r>
      <w:r w:rsidR="00C76049">
        <w:t xml:space="preserve">We also adopt the proposal in the </w:t>
      </w:r>
      <w:r w:rsidR="00C76049">
        <w:rPr>
          <w:i/>
          <w:iCs/>
        </w:rPr>
        <w:t xml:space="preserve">NPRM </w:t>
      </w:r>
      <w:r w:rsidR="00C76049">
        <w:t>that</w:t>
      </w:r>
      <w:r w:rsidR="007915AF">
        <w:t>,</w:t>
      </w:r>
      <w:r w:rsidR="00C76049">
        <w:t xml:space="preserve"> for the purposes of section 73.207(b)(2), Class C0 allotments and assignments are considered to be Class C.</w:t>
      </w:r>
      <w:r>
        <w:rPr>
          <w:rStyle w:val="FootnoteReference"/>
        </w:rPr>
        <w:footnoteReference w:id="58"/>
      </w:r>
    </w:p>
    <w:p w:rsidR="006700FE" w:rsidP="00531D23" w14:paraId="784E801E" w14:textId="6600469A">
      <w:pPr>
        <w:pStyle w:val="ParaNum"/>
        <w:widowControl/>
      </w:pPr>
      <w:bookmarkStart w:id="13" w:name="_Hlk74218707"/>
      <w:bookmarkStart w:id="14" w:name="_Hlk74211119"/>
      <w:r>
        <w:rPr>
          <w:i/>
          <w:iCs/>
        </w:rPr>
        <w:t>Section 73.207(b) s</w:t>
      </w:r>
      <w:r w:rsidRPr="0030410C" w:rsidR="00314944">
        <w:rPr>
          <w:i/>
          <w:iCs/>
        </w:rPr>
        <w:t xml:space="preserve">pacing </w:t>
      </w:r>
      <w:r>
        <w:rPr>
          <w:i/>
          <w:iCs/>
        </w:rPr>
        <w:t>requirements</w:t>
      </w:r>
      <w:r w:rsidRPr="0030410C" w:rsidR="00222AB6">
        <w:rPr>
          <w:i/>
          <w:iCs/>
        </w:rPr>
        <w:t xml:space="preserve">.  </w:t>
      </w:r>
      <w:r w:rsidR="007F270C">
        <w:t>We</w:t>
      </w:r>
      <w:r w:rsidR="00F12892">
        <w:t xml:space="preserve"> update section 73.207(b)</w:t>
      </w:r>
      <w:r w:rsidR="00314944">
        <w:t>, which contains minimum distance</w:t>
      </w:r>
      <w:r w:rsidR="00C25771">
        <w:t xml:space="preserve"> separations</w:t>
      </w:r>
      <w:r w:rsidR="00314944">
        <w:t xml:space="preserve"> </w:t>
      </w:r>
      <w:r w:rsidR="00CC0F1A">
        <w:t xml:space="preserve">between U.S. and Mexican or Canadian </w:t>
      </w:r>
      <w:r w:rsidR="00314944">
        <w:t xml:space="preserve">FM stations, to reflect current treaty requirements.  </w:t>
      </w:r>
      <w:r w:rsidR="0030410C">
        <w:t>Regarding stations near the Canadian border, w</w:t>
      </w:r>
      <w:r w:rsidR="00314944">
        <w:t xml:space="preserve">e update section 73.207(b)(2) and </w:t>
      </w:r>
      <w:r w:rsidR="00454F76">
        <w:t xml:space="preserve">the </w:t>
      </w:r>
      <w:r w:rsidR="00314944">
        <w:t xml:space="preserve">associated </w:t>
      </w:r>
      <w:r w:rsidR="00454F76">
        <w:t>t</w:t>
      </w:r>
      <w:r w:rsidR="00314944">
        <w:t>able</w:t>
      </w:r>
      <w:r w:rsidR="00454F76">
        <w:t xml:space="preserve"> </w:t>
      </w:r>
      <w:r w:rsidR="00AB51D1">
        <w:t>to reflect</w:t>
      </w:r>
      <w:r w:rsidR="00F12892">
        <w:t xml:space="preserve"> </w:t>
      </w:r>
      <w:r w:rsidR="00C25771">
        <w:t xml:space="preserve">the </w:t>
      </w:r>
      <w:r w:rsidR="00814938">
        <w:t xml:space="preserve">spacing requirements </w:t>
      </w:r>
      <w:r w:rsidR="00AB51D1">
        <w:t xml:space="preserve">set out in the 1997 amendment to the </w:t>
      </w:r>
      <w:r w:rsidRPr="0030410C" w:rsidR="00814938">
        <w:rPr>
          <w:i/>
          <w:iCs/>
        </w:rPr>
        <w:t>1991 U.S. – Canada FM Broadcasting Agreement</w:t>
      </w:r>
      <w:r>
        <w:rPr>
          <w:rStyle w:val="FootnoteReference"/>
        </w:rPr>
        <w:footnoteReference w:id="59"/>
      </w:r>
      <w:r w:rsidRPr="009F78A4" w:rsidR="009F78A4">
        <w:t xml:space="preserve"> </w:t>
      </w:r>
      <w:r w:rsidR="009F78A4">
        <w:t xml:space="preserve">and </w:t>
      </w:r>
      <w:r w:rsidR="005715FE">
        <w:t>reference</w:t>
      </w:r>
      <w:r w:rsidR="009F78A4">
        <w:t xml:space="preserve"> the </w:t>
      </w:r>
      <w:r w:rsidRPr="00CD5FF7" w:rsidR="009F78A4">
        <w:t xml:space="preserve">contour overlap </w:t>
      </w:r>
      <w:r w:rsidR="000279A7">
        <w:t>provisions of</w:t>
      </w:r>
      <w:r w:rsidR="009F78A4">
        <w:t xml:space="preserve"> section 5.2 of the </w:t>
      </w:r>
      <w:r w:rsidR="009F78A4">
        <w:rPr>
          <w:i/>
          <w:iCs/>
        </w:rPr>
        <w:t>Agreement</w:t>
      </w:r>
      <w:r w:rsidR="00F12892">
        <w:t>.</w:t>
      </w:r>
      <w:r>
        <w:rPr>
          <w:rStyle w:val="FootnoteReference"/>
        </w:rPr>
        <w:footnoteReference w:id="60"/>
      </w:r>
      <w:r w:rsidR="00F12892">
        <w:t xml:space="preserve"> </w:t>
      </w:r>
      <w:r w:rsidR="00B84233">
        <w:rPr>
          <w:i/>
          <w:iCs/>
        </w:rPr>
        <w:t xml:space="preserve"> </w:t>
      </w:r>
      <w:r w:rsidR="0093451E">
        <w:t xml:space="preserve">NAB </w:t>
      </w:r>
      <w:r w:rsidR="005565B4">
        <w:t xml:space="preserve">is concerned </w:t>
      </w:r>
      <w:r w:rsidR="0093451E">
        <w:t xml:space="preserve">that </w:t>
      </w:r>
      <w:r w:rsidR="00454F76">
        <w:t xml:space="preserve">the </w:t>
      </w:r>
      <w:r w:rsidR="000548D2">
        <w:t xml:space="preserve">proposed </w:t>
      </w:r>
      <w:r w:rsidR="00454F76">
        <w:t>updated requirements</w:t>
      </w:r>
      <w:r w:rsidR="00D8637D">
        <w:t xml:space="preserve"> </w:t>
      </w:r>
      <w:r w:rsidR="005565B4">
        <w:t xml:space="preserve">appear to </w:t>
      </w:r>
      <w:r w:rsidR="00314944">
        <w:t>impose greater minimum distance separations</w:t>
      </w:r>
      <w:r w:rsidR="0093451E">
        <w:t xml:space="preserve"> on Class A</w:t>
      </w:r>
      <w:r w:rsidR="000279A7">
        <w:t xml:space="preserve"> FM</w:t>
      </w:r>
      <w:r w:rsidR="0093451E">
        <w:t xml:space="preserve"> stations than </w:t>
      </w:r>
      <w:r w:rsidR="00222AB6">
        <w:t>is</w:t>
      </w:r>
      <w:r w:rsidR="00314944">
        <w:t xml:space="preserve"> currently</w:t>
      </w:r>
      <w:r w:rsidR="00222AB6">
        <w:t xml:space="preserve"> </w:t>
      </w:r>
      <w:r w:rsidR="0093451E">
        <w:t xml:space="preserve">provided for in the Commissions’ </w:t>
      </w:r>
      <w:r w:rsidR="00D8637D">
        <w:t xml:space="preserve">existing </w:t>
      </w:r>
      <w:r w:rsidR="0093451E">
        <w:t>rules</w:t>
      </w:r>
      <w:r w:rsidR="00314944">
        <w:t>.</w:t>
      </w:r>
      <w:r>
        <w:rPr>
          <w:rStyle w:val="FootnoteReference"/>
        </w:rPr>
        <w:footnoteReference w:id="61"/>
      </w:r>
      <w:r w:rsidR="00314944">
        <w:t xml:space="preserve">  It</w:t>
      </w:r>
      <w:r w:rsidR="00222AB6">
        <w:t xml:space="preserve"> therefore</w:t>
      </w:r>
      <w:r w:rsidR="0093451E">
        <w:t xml:space="preserve"> urges that </w:t>
      </w:r>
      <w:r w:rsidR="00314944">
        <w:t xml:space="preserve">the Commission </w:t>
      </w:r>
      <w:r w:rsidR="0093451E">
        <w:t>“confer ‘grandfathered short-spacing’ status on all U.S. stations that are operating as of the effective date of the new rules.”</w:t>
      </w:r>
      <w:r>
        <w:rPr>
          <w:rStyle w:val="FootnoteReference"/>
        </w:rPr>
        <w:footnoteReference w:id="62"/>
      </w:r>
      <w:r w:rsidR="0093451E">
        <w:t xml:space="preserve">  </w:t>
      </w:r>
      <w:r w:rsidR="005565B4">
        <w:t xml:space="preserve">Such “grandfathering” is not necessary.  </w:t>
      </w:r>
      <w:r w:rsidR="0093451E">
        <w:t xml:space="preserve">Although </w:t>
      </w:r>
      <w:r w:rsidR="00454F76">
        <w:t xml:space="preserve">the </w:t>
      </w:r>
      <w:r w:rsidR="00BF0819">
        <w:t xml:space="preserve">Commission did not update the </w:t>
      </w:r>
      <w:r w:rsidR="00417B6A">
        <w:t xml:space="preserve">associated </w:t>
      </w:r>
      <w:r w:rsidR="00454F76">
        <w:t xml:space="preserve">table to section 73.207(b)(2) </w:t>
      </w:r>
      <w:r w:rsidR="007D7B10">
        <w:t>to reflect these stricter distance separations</w:t>
      </w:r>
      <w:r w:rsidR="0066197A">
        <w:t xml:space="preserve"> </w:t>
      </w:r>
      <w:r w:rsidR="00314944">
        <w:t>at the time that</w:t>
      </w:r>
      <w:r w:rsidR="0093451E">
        <w:t xml:space="preserve"> the 1997 amendment took effect, </w:t>
      </w:r>
      <w:r w:rsidR="00143CC1">
        <w:t xml:space="preserve">the Commission </w:t>
      </w:r>
      <w:r w:rsidR="00076ADD">
        <w:t xml:space="preserve">coordinated with Canada Table B allotment modifications in accordance with the increase of Class A allotments to 6kW, and </w:t>
      </w:r>
      <w:r w:rsidR="00143CC1">
        <w:t xml:space="preserve">has </w:t>
      </w:r>
      <w:r w:rsidR="00076ADD">
        <w:t xml:space="preserve">subsequently </w:t>
      </w:r>
      <w:r w:rsidR="00C76049">
        <w:t xml:space="preserve">applied </w:t>
      </w:r>
      <w:r w:rsidR="00143CC1">
        <w:t xml:space="preserve">the </w:t>
      </w:r>
      <w:r w:rsidR="00222AB6">
        <w:t xml:space="preserve">distance separations set out in </w:t>
      </w:r>
      <w:r w:rsidR="00143CC1">
        <w:t xml:space="preserve">the amended </w:t>
      </w:r>
      <w:r w:rsidRPr="0030410C" w:rsidR="00143CC1">
        <w:rPr>
          <w:i/>
          <w:iCs/>
        </w:rPr>
        <w:t xml:space="preserve">1991 </w:t>
      </w:r>
      <w:r w:rsidRPr="0030410C" w:rsidR="00143CC1">
        <w:rPr>
          <w:i/>
          <w:iCs/>
        </w:rPr>
        <w:t>U.S. – Canada FM Broadcasting Agreement</w:t>
      </w:r>
      <w:r w:rsidR="00143CC1">
        <w:t xml:space="preserve"> </w:t>
      </w:r>
      <w:r w:rsidR="00C76049">
        <w:t xml:space="preserve">when processing applications </w:t>
      </w:r>
      <w:r w:rsidR="0093451E">
        <w:t>for more than two decades.</w:t>
      </w:r>
      <w:r>
        <w:rPr>
          <w:rStyle w:val="FootnoteReference"/>
        </w:rPr>
        <w:footnoteReference w:id="63"/>
      </w:r>
      <w:r w:rsidR="0093451E">
        <w:t xml:space="preserve"> </w:t>
      </w:r>
      <w:r w:rsidR="004C7A18">
        <w:t xml:space="preserve"> </w:t>
      </w:r>
      <w:r w:rsidR="00076ADD">
        <w:t>C</w:t>
      </w:r>
      <w:r w:rsidR="00EC7F80">
        <w:t xml:space="preserve">onsistent with the intent of this proceeding to provide rules that reflect current requirements, </w:t>
      </w:r>
      <w:r w:rsidR="000E6B2E">
        <w:t xml:space="preserve">we clarify that no facility modifications will be ordered </w:t>
      </w:r>
      <w:r w:rsidR="00244675">
        <w:t xml:space="preserve">because of the </w:t>
      </w:r>
      <w:r w:rsidR="00076ADD">
        <w:t>administrative updates to the</w:t>
      </w:r>
      <w:r w:rsidR="00244675">
        <w:t xml:space="preserve"> distance separation requirements</w:t>
      </w:r>
      <w:r w:rsidR="00760DBE">
        <w:t xml:space="preserve"> </w:t>
      </w:r>
      <w:r w:rsidR="000E6B2E">
        <w:t xml:space="preserve">and </w:t>
      </w:r>
      <w:r w:rsidR="00D25897">
        <w:t xml:space="preserve">that </w:t>
      </w:r>
      <w:r w:rsidR="004C7A18">
        <w:t xml:space="preserve">any </w:t>
      </w:r>
      <w:r w:rsidR="00D13987">
        <w:t>Class A</w:t>
      </w:r>
      <w:r w:rsidR="00360879">
        <w:t xml:space="preserve"> </w:t>
      </w:r>
      <w:r w:rsidR="003245DF">
        <w:t xml:space="preserve">FM </w:t>
      </w:r>
      <w:r w:rsidR="004C7A18">
        <w:t xml:space="preserve">station </w:t>
      </w:r>
      <w:r w:rsidR="00C25771">
        <w:t>may</w:t>
      </w:r>
      <w:r w:rsidR="004C7A18">
        <w:t xml:space="preserve"> continue to operate under </w:t>
      </w:r>
      <w:r w:rsidR="00C25771">
        <w:t>its</w:t>
      </w:r>
      <w:r w:rsidR="00222AB6">
        <w:t xml:space="preserve"> </w:t>
      </w:r>
      <w:r w:rsidR="004C7A18">
        <w:t>licen</w:t>
      </w:r>
      <w:r w:rsidR="00222AB6">
        <w:t>sed</w:t>
      </w:r>
      <w:r w:rsidR="004C7A18">
        <w:t xml:space="preserve"> parameters</w:t>
      </w:r>
      <w:r w:rsidR="007915AF">
        <w:t>.  However, any</w:t>
      </w:r>
      <w:r w:rsidR="005C0749">
        <w:t xml:space="preserve"> application to modify </w:t>
      </w:r>
      <w:r w:rsidR="00F812EE">
        <w:t>the technical parameters in the station’s license</w:t>
      </w:r>
      <w:r w:rsidR="00D64871">
        <w:t xml:space="preserve"> must include a showing that the proposed facilities satisfy the </w:t>
      </w:r>
      <w:r w:rsidR="00F15CE2">
        <w:t xml:space="preserve">treaty </w:t>
      </w:r>
      <w:r w:rsidR="00D64871">
        <w:t>requirements with respect to the Canadian border as set out in amended section 73.207(b)(2).</w:t>
      </w:r>
      <w:r>
        <w:rPr>
          <w:rStyle w:val="FootnoteReference"/>
        </w:rPr>
        <w:footnoteReference w:id="64"/>
      </w:r>
      <w:r w:rsidR="00D64871">
        <w:t xml:space="preserve">  </w:t>
      </w:r>
    </w:p>
    <w:p w:rsidR="005672EA" w:rsidP="00531D23" w14:paraId="31D5F560" w14:textId="6B33653B">
      <w:pPr>
        <w:pStyle w:val="ParaNum"/>
        <w:widowControl/>
      </w:pPr>
      <w:r>
        <w:t xml:space="preserve">Regarding stations near the Mexican border, </w:t>
      </w:r>
      <w:bookmarkEnd w:id="13"/>
      <w:bookmarkEnd w:id="14"/>
      <w:r>
        <w:t>w</w:t>
      </w:r>
      <w:r w:rsidR="00C25771">
        <w:t xml:space="preserve">e </w:t>
      </w:r>
      <w:r w:rsidR="00360879">
        <w:t>update</w:t>
      </w:r>
      <w:r w:rsidR="00C25771">
        <w:t xml:space="preserve"> section 73.207(b)(3) and </w:t>
      </w:r>
      <w:r w:rsidR="0084073A">
        <w:t xml:space="preserve">the </w:t>
      </w:r>
      <w:r w:rsidR="00C25771">
        <w:t xml:space="preserve">associated </w:t>
      </w:r>
      <w:r w:rsidR="00454F76">
        <w:t>table</w:t>
      </w:r>
      <w:r w:rsidR="00C25771">
        <w:t xml:space="preserve"> to </w:t>
      </w:r>
      <w:r w:rsidR="00076ADD">
        <w:t xml:space="preserve">reflect the spacing requirements set out in the </w:t>
      </w:r>
      <w:r w:rsidRPr="0030410C" w:rsidR="00222AB6">
        <w:rPr>
          <w:i/>
          <w:iCs/>
        </w:rPr>
        <w:t xml:space="preserve">1992 </w:t>
      </w:r>
      <w:r w:rsidR="00F15CE2">
        <w:rPr>
          <w:i/>
          <w:iCs/>
        </w:rPr>
        <w:t xml:space="preserve">U.S. – </w:t>
      </w:r>
      <w:r w:rsidRPr="0030410C" w:rsidR="00222AB6">
        <w:rPr>
          <w:i/>
          <w:iCs/>
        </w:rPr>
        <w:t>Mexico FM Broadcasting Agreement</w:t>
      </w:r>
      <w:r w:rsidRPr="0030410C" w:rsidR="00C25771">
        <w:rPr>
          <w:i/>
          <w:iCs/>
        </w:rPr>
        <w:t>.</w:t>
      </w:r>
      <w:r>
        <w:rPr>
          <w:rStyle w:val="FootnoteReference"/>
        </w:rPr>
        <w:footnoteReference w:id="65"/>
      </w:r>
      <w:r w:rsidRPr="0030410C" w:rsidR="00222AB6">
        <w:rPr>
          <w:i/>
          <w:iCs/>
        </w:rPr>
        <w:t xml:space="preserve"> </w:t>
      </w:r>
      <w:r>
        <w:rPr>
          <w:i/>
          <w:iCs/>
        </w:rPr>
        <w:t xml:space="preserve"> </w:t>
      </w:r>
      <w:r w:rsidR="00E47EF5">
        <w:t>At NAB’s suggestion, we clarify that</w:t>
      </w:r>
      <w:r w:rsidR="006700FE">
        <w:t>,</w:t>
      </w:r>
      <w:r w:rsidR="00E47EF5">
        <w:t xml:space="preserve"> for the purposes of </w:t>
      </w:r>
      <w:r w:rsidR="00454F76">
        <w:t>the table</w:t>
      </w:r>
      <w:r w:rsidR="00E47EF5">
        <w:t xml:space="preserve"> </w:t>
      </w:r>
      <w:r w:rsidR="00FE7912">
        <w:t>associated with</w:t>
      </w:r>
      <w:r w:rsidR="00E47EF5">
        <w:t xml:space="preserve"> section 73.207(b)</w:t>
      </w:r>
      <w:r w:rsidR="00FB6FD6">
        <w:t>(3)</w:t>
      </w:r>
      <w:r w:rsidR="00E47EF5">
        <w:t xml:space="preserve">, </w:t>
      </w:r>
      <w:r w:rsidR="00E47EF5">
        <w:rPr>
          <w:szCs w:val="24"/>
        </w:rPr>
        <w:t>U.S. Class C0 assignments or allotments are considered Class C.</w:t>
      </w:r>
      <w:r>
        <w:rPr>
          <w:rStyle w:val="FootnoteReference"/>
          <w:szCs w:val="24"/>
        </w:rPr>
        <w:footnoteReference w:id="66"/>
      </w:r>
      <w:r w:rsidR="00E47EF5">
        <w:t xml:space="preserve">  </w:t>
      </w:r>
      <w:r w:rsidR="00524D71">
        <w:t xml:space="preserve">This revision reflects the existing definition of Class C set out in </w:t>
      </w:r>
      <w:r w:rsidR="00076ADD">
        <w:t>Annex 1, S</w:t>
      </w:r>
      <w:r w:rsidR="00524D71">
        <w:t xml:space="preserve">ection 1.1.2 of the </w:t>
      </w:r>
      <w:r w:rsidR="00524D71">
        <w:rPr>
          <w:i/>
          <w:iCs/>
        </w:rPr>
        <w:t>Agreement.</w:t>
      </w:r>
      <w:r>
        <w:rPr>
          <w:rStyle w:val="FootnoteReference"/>
        </w:rPr>
        <w:footnoteReference w:id="67"/>
      </w:r>
      <w:r w:rsidR="00524D71">
        <w:rPr>
          <w:i/>
          <w:iCs/>
        </w:rPr>
        <w:t xml:space="preserve">  </w:t>
      </w:r>
      <w:r w:rsidR="00CA0FCB">
        <w:t xml:space="preserve">We also adopt NAB’s suggestion that the distances in </w:t>
      </w:r>
      <w:r w:rsidR="00CF72DC">
        <w:t xml:space="preserve">both </w:t>
      </w:r>
      <w:r w:rsidR="00CA0FCB">
        <w:t>sections 73.207(b)(2) and (3) are to be calculated using the distance calculation methodology set out in the</w:t>
      </w:r>
      <w:r w:rsidR="00CF72DC">
        <w:t xml:space="preserve"> two</w:t>
      </w:r>
      <w:r w:rsidR="00CA0FCB">
        <w:t xml:space="preserve"> respective </w:t>
      </w:r>
      <w:r w:rsidR="00CA0FCB">
        <w:rPr>
          <w:i/>
          <w:iCs/>
        </w:rPr>
        <w:t>Agreements.</w:t>
      </w:r>
      <w:r>
        <w:rPr>
          <w:rStyle w:val="FootnoteReference"/>
        </w:rPr>
        <w:footnoteReference w:id="68"/>
      </w:r>
      <w:r w:rsidRPr="00CA0FCB" w:rsidR="00CA0FCB">
        <w:t xml:space="preserve">  </w:t>
      </w:r>
      <w:r>
        <w:t>Finally, t</w:t>
      </w:r>
      <w:r w:rsidR="003F2A68">
        <w:t xml:space="preserve">o </w:t>
      </w:r>
      <w:r w:rsidR="00454E03">
        <w:t xml:space="preserve">ensure clarity and consistency </w:t>
      </w:r>
      <w:r w:rsidR="0084073A">
        <w:t xml:space="preserve">throughout the spacing rules </w:t>
      </w:r>
      <w:r w:rsidR="00454E03">
        <w:t xml:space="preserve">and </w:t>
      </w:r>
      <w:r>
        <w:t>conform</w:t>
      </w:r>
      <w:r w:rsidR="00454E03">
        <w:t xml:space="preserve"> </w:t>
      </w:r>
      <w:r>
        <w:t xml:space="preserve">to </w:t>
      </w:r>
      <w:r w:rsidRPr="00500C46" w:rsidR="004D10BC">
        <w:rPr>
          <w:color w:val="3D3D3D"/>
          <w:szCs w:val="22"/>
          <w:shd w:val="clear" w:color="auto" w:fill="FFFFFF"/>
        </w:rPr>
        <w:t>the publishing conventions of the National Archives and Records Administration</w:t>
      </w:r>
      <w:r w:rsidR="004D10BC">
        <w:rPr>
          <w:color w:val="3D3D3D"/>
          <w:shd w:val="clear" w:color="auto" w:fill="FFFFFF"/>
        </w:rPr>
        <w:t>’</w:t>
      </w:r>
      <w:r w:rsidRPr="00500C46" w:rsidR="004D10BC">
        <w:rPr>
          <w:color w:val="3D3D3D"/>
          <w:szCs w:val="22"/>
          <w:shd w:val="clear" w:color="auto" w:fill="FFFFFF"/>
        </w:rPr>
        <w:t>s Office of the</w:t>
      </w:r>
      <w:r w:rsidR="004D10BC">
        <w:t xml:space="preserve"> </w:t>
      </w:r>
      <w:r>
        <w:t>Federal Register, we</w:t>
      </w:r>
      <w:r w:rsidR="00C25771">
        <w:t xml:space="preserve"> </w:t>
      </w:r>
      <w:r w:rsidR="003F2A68">
        <w:t>make non-substantive</w:t>
      </w:r>
      <w:r>
        <w:t xml:space="preserve"> and formatting </w:t>
      </w:r>
      <w:r w:rsidR="00454E03">
        <w:t>edits</w:t>
      </w:r>
      <w:r>
        <w:t xml:space="preserve"> to</w:t>
      </w:r>
      <w:r w:rsidR="003F2A68">
        <w:t xml:space="preserve"> </w:t>
      </w:r>
      <w:r w:rsidR="00454F76">
        <w:t>all of the minimum distance separation tables contained in</w:t>
      </w:r>
      <w:r w:rsidR="006700FE">
        <w:t xml:space="preserve"> section 73.207(b)</w:t>
      </w:r>
      <w:r>
        <w:t>, as set out in Appendix B.</w:t>
      </w:r>
      <w:r>
        <w:rPr>
          <w:rStyle w:val="FootnoteReference"/>
        </w:rPr>
        <w:footnoteReference w:id="69"/>
      </w:r>
    </w:p>
    <w:p w:rsidR="009909C9" w:rsidP="003A3EEA" w14:paraId="16BD3E6F" w14:textId="6182A558">
      <w:pPr>
        <w:pStyle w:val="ParaNum"/>
      </w:pPr>
      <w:r w:rsidRPr="00705CFA">
        <w:rPr>
          <w:i/>
          <w:iCs/>
        </w:rPr>
        <w:t xml:space="preserve">FM </w:t>
      </w:r>
      <w:r w:rsidRPr="00705CFA" w:rsidR="000D0E75">
        <w:rPr>
          <w:i/>
          <w:iCs/>
        </w:rPr>
        <w:t>t</w:t>
      </w:r>
      <w:r w:rsidRPr="00705CFA" w:rsidR="00222AB6">
        <w:rPr>
          <w:i/>
          <w:iCs/>
        </w:rPr>
        <w:t>ranslator</w:t>
      </w:r>
      <w:r w:rsidRPr="00705CFA">
        <w:rPr>
          <w:i/>
          <w:iCs/>
        </w:rPr>
        <w:t xml:space="preserve"> </w:t>
      </w:r>
      <w:r w:rsidRPr="00705CFA" w:rsidR="000D0E75">
        <w:rPr>
          <w:i/>
          <w:iCs/>
        </w:rPr>
        <w:t>s</w:t>
      </w:r>
      <w:r w:rsidRPr="00705CFA">
        <w:rPr>
          <w:i/>
          <w:iCs/>
        </w:rPr>
        <w:t>tations</w:t>
      </w:r>
      <w:r w:rsidRPr="00705CFA" w:rsidR="00222AB6">
        <w:rPr>
          <w:i/>
          <w:iCs/>
        </w:rPr>
        <w:t xml:space="preserve">.  </w:t>
      </w:r>
      <w:r w:rsidR="000E0674">
        <w:t xml:space="preserve">As proposed in the </w:t>
      </w:r>
      <w:r w:rsidRPr="00705CFA" w:rsidR="000E0674">
        <w:rPr>
          <w:i/>
          <w:iCs/>
        </w:rPr>
        <w:t>NPRM</w:t>
      </w:r>
      <w:r w:rsidR="000E0674">
        <w:t>, w</w:t>
      </w:r>
      <w:r w:rsidR="00F12892">
        <w:t xml:space="preserve">e </w:t>
      </w:r>
      <w:r w:rsidR="00EB1E95">
        <w:t xml:space="preserve">update section 74.1235(d) </w:t>
      </w:r>
      <w:r w:rsidR="00AE1AEB">
        <w:t xml:space="preserve">of the </w:t>
      </w:r>
      <w:r w:rsidR="003D3F4C">
        <w:t>r</w:t>
      </w:r>
      <w:r w:rsidR="00AE1AEB">
        <w:t xml:space="preserve">ules </w:t>
      </w:r>
      <w:r w:rsidR="00EB1E95">
        <w:t xml:space="preserve">to </w:t>
      </w:r>
      <w:r w:rsidR="00D5358C">
        <w:t xml:space="preserve">eliminate inconsistent provisions and </w:t>
      </w:r>
      <w:r w:rsidR="00EB1E95">
        <w:t>reflect</w:t>
      </w:r>
      <w:r w:rsidR="009C2B3E">
        <w:t xml:space="preserve"> </w:t>
      </w:r>
      <w:r w:rsidR="00AE1AEB">
        <w:t xml:space="preserve">current </w:t>
      </w:r>
      <w:r w:rsidR="00EB1E95">
        <w:t xml:space="preserve">treaty </w:t>
      </w:r>
      <w:r w:rsidR="003D3F4C">
        <w:t>requirements</w:t>
      </w:r>
      <w:r w:rsidR="009B7DB4">
        <w:t xml:space="preserve"> </w:t>
      </w:r>
      <w:r w:rsidR="0084073A">
        <w:t>applicable to</w:t>
      </w:r>
      <w:r w:rsidR="00EB1E95">
        <w:t xml:space="preserve"> </w:t>
      </w:r>
      <w:r w:rsidR="009C2B3E">
        <w:t xml:space="preserve">FM </w:t>
      </w:r>
      <w:r w:rsidR="00EB1E95">
        <w:t>translators.</w:t>
      </w:r>
      <w:r>
        <w:rPr>
          <w:rStyle w:val="FootnoteReference"/>
        </w:rPr>
        <w:footnoteReference w:id="70"/>
      </w:r>
      <w:r w:rsidR="00EB1E95">
        <w:t xml:space="preserve">  </w:t>
      </w:r>
      <w:r w:rsidR="00705CFA">
        <w:t>First, we delete all of the</w:t>
      </w:r>
      <w:r w:rsidR="00F370F2">
        <w:t xml:space="preserve"> current</w:t>
      </w:r>
      <w:r w:rsidR="00705CFA">
        <w:t xml:space="preserve"> introductory language of paragraph (d) </w:t>
      </w:r>
      <w:r w:rsidR="003B42FB">
        <w:t xml:space="preserve">prior to subsections </w:t>
      </w:r>
      <w:r w:rsidR="005B5D94">
        <w:t>(1), (2) and (3)</w:t>
      </w:r>
      <w:r w:rsidR="00705CFA">
        <w:t>.</w:t>
      </w:r>
      <w:r>
        <w:rPr>
          <w:rStyle w:val="FootnoteReference"/>
        </w:rPr>
        <w:footnoteReference w:id="71"/>
      </w:r>
      <w:r w:rsidR="00705CFA">
        <w:t xml:space="preserve">  </w:t>
      </w:r>
      <w:r w:rsidR="00793DF2">
        <w:t xml:space="preserve">As noted in the </w:t>
      </w:r>
      <w:r w:rsidR="00793DF2">
        <w:rPr>
          <w:i/>
          <w:iCs/>
        </w:rPr>
        <w:t>NPRM</w:t>
      </w:r>
      <w:r w:rsidR="00793DF2">
        <w:t>,</w:t>
      </w:r>
      <w:r w:rsidR="00793DF2">
        <w:rPr>
          <w:i/>
          <w:iCs/>
        </w:rPr>
        <w:t xml:space="preserve"> </w:t>
      </w:r>
      <w:r w:rsidR="00793DF2">
        <w:t>t</w:t>
      </w:r>
      <w:r w:rsidR="00705CFA">
        <w:t>he first sentence of th</w:t>
      </w:r>
      <w:r w:rsidR="005B5D94">
        <w:t xml:space="preserve">at </w:t>
      </w:r>
      <w:r w:rsidR="00360879">
        <w:t xml:space="preserve">introductory </w:t>
      </w:r>
      <w:r w:rsidR="005B5D94">
        <w:t>paragraph</w:t>
      </w:r>
      <w:r w:rsidR="00705CFA">
        <w:t xml:space="preserve"> </w:t>
      </w:r>
      <w:r w:rsidR="009B20BD">
        <w:t>i</w:t>
      </w:r>
      <w:r w:rsidR="00705CFA">
        <w:t xml:space="preserve">s inconsistent with the current treaty power limits established in the </w:t>
      </w:r>
      <w:bookmarkStart w:id="15" w:name="_Hlk93659346"/>
      <w:r w:rsidRPr="00705CFA" w:rsidR="00705CFA">
        <w:rPr>
          <w:i/>
          <w:iCs/>
        </w:rPr>
        <w:t>1991 U.S.-Canada FM Broadcasting Agreement</w:t>
      </w:r>
      <w:r w:rsidR="00BA51EE">
        <w:t xml:space="preserve">, </w:t>
      </w:r>
      <w:bookmarkEnd w:id="15"/>
      <w:r w:rsidR="00A507A0">
        <w:t xml:space="preserve">as amended, </w:t>
      </w:r>
      <w:r w:rsidR="00BA51EE">
        <w:t xml:space="preserve">which are already </w:t>
      </w:r>
      <w:r w:rsidR="00C3542B">
        <w:t xml:space="preserve">codified </w:t>
      </w:r>
      <w:r w:rsidR="00705CFA">
        <w:t>in subsection (d)(3)</w:t>
      </w:r>
      <w:r w:rsidRPr="00705CFA" w:rsidR="009C2B3E">
        <w:rPr>
          <w:i/>
          <w:iCs/>
        </w:rPr>
        <w:t>.</w:t>
      </w:r>
      <w:r>
        <w:rPr>
          <w:rStyle w:val="FootnoteReference"/>
        </w:rPr>
        <w:footnoteReference w:id="72"/>
      </w:r>
      <w:r w:rsidRPr="00705CFA" w:rsidR="00EB1E95">
        <w:rPr>
          <w:i/>
          <w:iCs/>
        </w:rPr>
        <w:t xml:space="preserve"> </w:t>
      </w:r>
      <w:r w:rsidR="009C2B3E">
        <w:t xml:space="preserve"> </w:t>
      </w:r>
      <w:r w:rsidR="00BA51EE">
        <w:t>The remainder</w:t>
      </w:r>
      <w:r w:rsidR="00705CFA">
        <w:t xml:space="preserve"> of </w:t>
      </w:r>
      <w:r w:rsidR="00891311">
        <w:t>that</w:t>
      </w:r>
      <w:r w:rsidR="00705CFA">
        <w:t xml:space="preserve"> </w:t>
      </w:r>
      <w:r w:rsidR="00541293">
        <w:t xml:space="preserve">introductory </w:t>
      </w:r>
      <w:r w:rsidR="00705CFA">
        <w:t xml:space="preserve">paragraph </w:t>
      </w:r>
      <w:r w:rsidR="00891311">
        <w:t>is inconsistent with</w:t>
      </w:r>
      <w:r w:rsidR="00705CFA">
        <w:t xml:space="preserve"> the terms of the </w:t>
      </w:r>
      <w:r w:rsidRPr="009D5D07" w:rsidR="00705CFA">
        <w:rPr>
          <w:i/>
          <w:iCs/>
        </w:rPr>
        <w:t xml:space="preserve">1992 U.S.-Mexico </w:t>
      </w:r>
      <w:r w:rsidR="00705CFA">
        <w:rPr>
          <w:i/>
          <w:iCs/>
        </w:rPr>
        <w:t xml:space="preserve">FM Broadcasting </w:t>
      </w:r>
      <w:r w:rsidRPr="009D5D07" w:rsidR="00705CFA">
        <w:rPr>
          <w:i/>
          <w:iCs/>
        </w:rPr>
        <w:t>Agreement</w:t>
      </w:r>
      <w:r w:rsidR="00705CFA">
        <w:t xml:space="preserve">, </w:t>
      </w:r>
      <w:r w:rsidR="00DB47C7">
        <w:t xml:space="preserve">which specifies </w:t>
      </w:r>
      <w:r w:rsidR="00541293">
        <w:t xml:space="preserve">that </w:t>
      </w:r>
      <w:r w:rsidR="00705CFA">
        <w:t xml:space="preserve">FM translator stations are </w:t>
      </w:r>
      <w:r w:rsidR="00C3542B">
        <w:t>subject to a contour overlap based spacing methodology</w:t>
      </w:r>
      <w:r>
        <w:rPr>
          <w:rStyle w:val="FootnoteReference"/>
        </w:rPr>
        <w:footnoteReference w:id="73"/>
      </w:r>
      <w:r w:rsidR="00C3542B">
        <w:t xml:space="preserve"> </w:t>
      </w:r>
      <w:r w:rsidR="001428E2">
        <w:t xml:space="preserve">and </w:t>
      </w:r>
      <w:r w:rsidR="00705CFA">
        <w:t>are</w:t>
      </w:r>
      <w:r w:rsidR="00C3542B">
        <w:t xml:space="preserve"> thus</w:t>
      </w:r>
      <w:r w:rsidR="00705CFA">
        <w:t xml:space="preserve"> not subject to the distance separations </w:t>
      </w:r>
      <w:r w:rsidR="003562E7">
        <w:t>of</w:t>
      </w:r>
      <w:r w:rsidR="00705CFA">
        <w:t xml:space="preserve"> section 73.207(b)(3).  </w:t>
      </w:r>
      <w:r w:rsidR="00695343">
        <w:t>Finally</w:t>
      </w:r>
      <w:r w:rsidR="00705CFA">
        <w:t xml:space="preserve">, the </w:t>
      </w:r>
      <w:r w:rsidR="00DF5332">
        <w:t xml:space="preserve">reference in that paragraph to a </w:t>
      </w:r>
      <w:r w:rsidR="00705CFA">
        <w:t xml:space="preserve">10-watt transmitter power output limitation is a superseded provision originally set out in the </w:t>
      </w:r>
      <w:r w:rsidRPr="002C6F1E" w:rsidR="00705CFA">
        <w:rPr>
          <w:i/>
        </w:rPr>
        <w:t xml:space="preserve">U.S.-Mexican FM Broadcast Agreement </w:t>
      </w:r>
      <w:r w:rsidRPr="00541293" w:rsidR="00705CFA">
        <w:rPr>
          <w:iCs/>
        </w:rPr>
        <w:t>of 1972</w:t>
      </w:r>
      <w:r w:rsidR="00705CFA">
        <w:rPr>
          <w:i/>
        </w:rPr>
        <w:t xml:space="preserve"> </w:t>
      </w:r>
      <w:r w:rsidR="00705CFA">
        <w:rPr>
          <w:iCs/>
        </w:rPr>
        <w:t>and is no longer required under the current treaty</w:t>
      </w:r>
      <w:r w:rsidR="00705CFA">
        <w:t>.  For these reasons, we delete</w:t>
      </w:r>
      <w:r w:rsidR="00695343">
        <w:t xml:space="preserve"> all of</w:t>
      </w:r>
      <w:r w:rsidR="00705CFA">
        <w:t xml:space="preserve"> the introductory language of section 74.1235(d) as obsolete.  </w:t>
      </w:r>
      <w:r w:rsidR="005B07BC">
        <w:t>We retain sections 74.1235(d)(1) and (2)</w:t>
      </w:r>
      <w:r w:rsidR="00CF7EDB">
        <w:t>, but adopt</w:t>
      </w:r>
      <w:r w:rsidR="008070A7">
        <w:t xml:space="preserve"> our proposed</w:t>
      </w:r>
      <w:r w:rsidR="005B07BC">
        <w:t xml:space="preserve"> minor revisions to reflect the language of the </w:t>
      </w:r>
      <w:r w:rsidR="005B07BC">
        <w:rPr>
          <w:i/>
          <w:iCs/>
        </w:rPr>
        <w:t>U.S.-Mexican FM Broadcast Agreement</w:t>
      </w:r>
      <w:r w:rsidR="004A2399">
        <w:t xml:space="preserve">.  </w:t>
      </w:r>
      <w:r w:rsidR="00454CED">
        <w:t xml:space="preserve">Because the relevant treaties do not distinguish between FM translator and booster stations, we </w:t>
      </w:r>
      <w:r w:rsidR="00793DF2">
        <w:t>find that it would be confusing to</w:t>
      </w:r>
      <w:r w:rsidR="00454CED">
        <w:t xml:space="preserve"> adopt our proposal</w:t>
      </w:r>
      <w:r w:rsidR="00670A26">
        <w:t xml:space="preserve"> in the </w:t>
      </w:r>
      <w:r w:rsidR="00670A26">
        <w:rPr>
          <w:i/>
          <w:iCs/>
        </w:rPr>
        <w:t>NPRM</w:t>
      </w:r>
      <w:r w:rsidR="00454CED">
        <w:t xml:space="preserve"> to eliminate references to booster stations in section 74.1235(d)</w:t>
      </w:r>
      <w:r w:rsidR="00793DF2">
        <w:t>, and decline to do so</w:t>
      </w:r>
      <w:r w:rsidR="00454CED">
        <w:t>.</w:t>
      </w:r>
      <w:r>
        <w:rPr>
          <w:rStyle w:val="FootnoteReference"/>
        </w:rPr>
        <w:footnoteReference w:id="74"/>
      </w:r>
      <w:r w:rsidR="00454CED">
        <w:t xml:space="preserve">  </w:t>
      </w:r>
      <w:r w:rsidR="00793DF2">
        <w:t>Likewise, because we eliminate conflicting language in the first sentence of paragraph 74.1235(d</w:t>
      </w:r>
      <w:r w:rsidR="002A4188">
        <w:t>)</w:t>
      </w:r>
      <w:r w:rsidR="00793DF2">
        <w:t xml:space="preserve">, </w:t>
      </w:r>
      <w:r w:rsidR="00902C17">
        <w:t>w</w:t>
      </w:r>
      <w:r w:rsidR="008E41E5">
        <w:t>e do not revise</w:t>
      </w:r>
      <w:r w:rsidR="005B07BC">
        <w:t xml:space="preserve"> paragraph </w:t>
      </w:r>
      <w:r w:rsidR="003A5147">
        <w:t>74.1235(d)</w:t>
      </w:r>
      <w:r w:rsidR="005B07BC">
        <w:t>(3)</w:t>
      </w:r>
      <w:r w:rsidR="004A2399">
        <w:t>, which concerns translator and booster stations near the Canadian border</w:t>
      </w:r>
      <w:r w:rsidR="005B07BC">
        <w:t>.</w:t>
      </w:r>
      <w:r w:rsidRPr="00ED3237">
        <w:t xml:space="preserve">    </w:t>
      </w:r>
    </w:p>
    <w:p w:rsidR="00A87BB7" w:rsidRPr="003E333E" w:rsidP="009C1AED" w14:paraId="366C45EF" w14:textId="77777777">
      <w:pPr>
        <w:pStyle w:val="Heading1"/>
        <w:keepNext w:val="0"/>
        <w:suppressAutoHyphens w:val="0"/>
      </w:pPr>
      <w:bookmarkStart w:id="16" w:name="_Toc52786413"/>
      <w:bookmarkStart w:id="17" w:name="_Toc54785831"/>
      <w:r>
        <w:t>Procedural Matters</w:t>
      </w:r>
      <w:bookmarkEnd w:id="16"/>
      <w:bookmarkEnd w:id="17"/>
    </w:p>
    <w:p w:rsidR="00A87BB7" w:rsidP="009C1AED" w14:paraId="72C3A867" w14:textId="1194E65D">
      <w:pPr>
        <w:pStyle w:val="ParaNum"/>
      </w:pPr>
      <w:r>
        <w:rPr>
          <w:i/>
          <w:iCs/>
        </w:rPr>
        <w:t xml:space="preserve">Paperwork Reduction Act Analysis.  </w:t>
      </w:r>
      <w:r w:rsidRPr="00EF0AC2">
        <w:t xml:space="preserve">This </w:t>
      </w:r>
      <w:r w:rsidRPr="00EC34C9">
        <w:rPr>
          <w:i/>
          <w:iCs/>
        </w:rPr>
        <w:t>Report and Order</w:t>
      </w:r>
      <w:r w:rsidRPr="00EF0AC2">
        <w:t xml:space="preserve"> </w:t>
      </w:r>
      <w:bookmarkStart w:id="18" w:name="_Toc50566015"/>
      <w:r w:rsidRPr="00EC34C9" w:rsidR="00EC34C9">
        <w:t xml:space="preserve">does not contain proposed new or modified information collection requirements subject to the Paperwork Reduction Act of 1995 (PRA), Public Law 104-13.  In addition, therefore, it does not contain any new or modified information collection for small business concerns with fewer than 25 employees, pursuant to the Small Business Paperwork Relief Act of 2002, Public Law 107-198, </w:t>
      </w:r>
      <w:r w:rsidRPr="00EC34C9" w:rsidR="00EC34C9">
        <w:rPr>
          <w:i/>
        </w:rPr>
        <w:t>see</w:t>
      </w:r>
      <w:r w:rsidRPr="00EC34C9" w:rsidR="00EC34C9">
        <w:t xml:space="preserve"> 44 U.S.C. 3506(c)(4).</w:t>
      </w:r>
      <w:bookmarkStart w:id="19" w:name="_Toc257799201"/>
      <w:bookmarkStart w:id="20" w:name="_Toc257799256"/>
      <w:bookmarkStart w:id="21" w:name="_Toc257814512"/>
      <w:bookmarkStart w:id="22" w:name="_Toc257980961"/>
      <w:bookmarkStart w:id="23" w:name="_Toc264384131"/>
      <w:bookmarkStart w:id="24" w:name="_Toc268709401"/>
      <w:bookmarkStart w:id="25" w:name="_Toc375123682"/>
      <w:bookmarkStart w:id="26" w:name="_Toc398112453"/>
      <w:bookmarkStart w:id="27" w:name="_Toc399318192"/>
      <w:bookmarkStart w:id="28" w:name="_Toc402433419"/>
      <w:bookmarkStart w:id="29" w:name="_Toc406672182"/>
      <w:r w:rsidRPr="00EC34C9" w:rsidR="00EC34C9">
        <w:t xml:space="preserve">  </w:t>
      </w:r>
      <w:bookmarkEnd w:id="19"/>
      <w:bookmarkEnd w:id="20"/>
      <w:bookmarkEnd w:id="21"/>
      <w:bookmarkEnd w:id="22"/>
      <w:bookmarkEnd w:id="23"/>
      <w:bookmarkEnd w:id="24"/>
      <w:bookmarkEnd w:id="25"/>
      <w:bookmarkEnd w:id="26"/>
      <w:bookmarkEnd w:id="27"/>
      <w:bookmarkEnd w:id="28"/>
      <w:bookmarkEnd w:id="29"/>
    </w:p>
    <w:p w:rsidR="00A87BB7" w:rsidRPr="00973E7B" w:rsidP="009C1AED" w14:paraId="57207BAA" w14:textId="3AB56C66">
      <w:pPr>
        <w:pStyle w:val="ParaNum"/>
        <w:rPr>
          <w:szCs w:val="22"/>
        </w:rPr>
      </w:pPr>
      <w:r w:rsidRPr="00973E7B">
        <w:rPr>
          <w:i/>
          <w:iCs/>
        </w:rPr>
        <w:t>Congressional Review Act</w:t>
      </w:r>
      <w:r>
        <w:t xml:space="preserve">.  </w:t>
      </w:r>
      <w:r w:rsidRPr="00FF7D84" w:rsidR="00CD04F2">
        <w:t xml:space="preserve">The Commission has determined, and the Administrator of the Office of Information and Regulatory Affairs, Office of Management and Budget, concurs, that this rule is “non-major” under the Congressional Review Act, 5 U.S.C. § 804(2).  The Commission will send a copy of this </w:t>
      </w:r>
      <w:r w:rsidRPr="00D23BF2" w:rsidR="00CD04F2">
        <w:rPr>
          <w:i/>
          <w:iCs/>
        </w:rPr>
        <w:t>Report and Order</w:t>
      </w:r>
      <w:r w:rsidRPr="00FF7D84" w:rsidR="00CD04F2">
        <w:t xml:space="preserve"> to Congress and the Government Accountability Office pursuant to 5 U.S.C. § 801(a)(1)(A).</w:t>
      </w:r>
    </w:p>
    <w:p w:rsidR="00A87BB7" w:rsidRPr="00973E7B" w:rsidP="009C1AED" w14:paraId="14351987" w14:textId="77777777">
      <w:pPr>
        <w:pStyle w:val="ParaNum"/>
      </w:pPr>
      <w:bookmarkStart w:id="30" w:name="_Ref342151430"/>
      <w:r>
        <w:rPr>
          <w:i/>
          <w:iCs/>
        </w:rPr>
        <w:t xml:space="preserve">Final Regulatory Flexibility Certification.  </w:t>
      </w:r>
      <w:r w:rsidRPr="003E333E">
        <w:t>As required by the Regulatory Flexibility Act of 1980 (RFA),</w:t>
      </w:r>
      <w:r>
        <w:rPr>
          <w:rStyle w:val="FootnoteReference"/>
          <w:sz w:val="22"/>
        </w:rPr>
        <w:footnoteReference w:id="75"/>
      </w:r>
      <w:r w:rsidRPr="003E333E">
        <w:t xml:space="preserve"> </w:t>
      </w:r>
      <w:r>
        <w:t xml:space="preserve">an </w:t>
      </w:r>
      <w:r w:rsidRPr="00FA552D">
        <w:t xml:space="preserve">Initial Regulatory Flexibility Certification was incorporated into the </w:t>
      </w:r>
      <w:r w:rsidRPr="00FA552D">
        <w:rPr>
          <w:i/>
        </w:rPr>
        <w:t>NPRM</w:t>
      </w:r>
      <w:r w:rsidRPr="00FA552D">
        <w:t>.</w:t>
      </w:r>
      <w:r>
        <w:rPr>
          <w:vertAlign w:val="superscript"/>
        </w:rPr>
        <w:footnoteReference w:id="76"/>
      </w:r>
      <w:r w:rsidRPr="00FA552D">
        <w:t xml:space="preserve">  Pursuant to the Regulatory Flexibility Act of 1980, as amended,</w:t>
      </w:r>
      <w:r>
        <w:rPr>
          <w:vertAlign w:val="superscript"/>
        </w:rPr>
        <w:footnoteReference w:id="77"/>
      </w:r>
      <w:r w:rsidRPr="00FA552D">
        <w:t xml:space="preserve"> the Commission’s Final Regulatory Flexibility Certification relating to this </w:t>
      </w:r>
      <w:r w:rsidRPr="00197F3E">
        <w:rPr>
          <w:i/>
        </w:rPr>
        <w:t>Report and Order</w:t>
      </w:r>
      <w:r w:rsidRPr="00FA552D">
        <w:t xml:space="preserve"> is attached as Appendix C.</w:t>
      </w:r>
      <w:bookmarkEnd w:id="30"/>
    </w:p>
    <w:p w:rsidR="00A87BB7" w:rsidRPr="003E333E" w:rsidP="009C1AED" w14:paraId="542111AE" w14:textId="77777777">
      <w:pPr>
        <w:pStyle w:val="Heading1"/>
        <w:keepNext w:val="0"/>
        <w:suppressAutoHyphens w:val="0"/>
      </w:pPr>
      <w:bookmarkStart w:id="31" w:name="_Toc52786414"/>
      <w:bookmarkStart w:id="32" w:name="_Toc54785832"/>
      <w:bookmarkEnd w:id="18"/>
      <w:r>
        <w:t>Ordering Clauses</w:t>
      </w:r>
      <w:bookmarkEnd w:id="31"/>
      <w:bookmarkEnd w:id="32"/>
    </w:p>
    <w:p w:rsidR="00A87BB7" w:rsidRPr="003E333E" w:rsidP="009C1AED" w14:paraId="13B01E8C" w14:textId="77777777">
      <w:pPr>
        <w:pStyle w:val="ParaNum"/>
      </w:pPr>
      <w:r w:rsidRPr="003E333E">
        <w:t xml:space="preserve">Accordingly, </w:t>
      </w:r>
      <w:r w:rsidRPr="00FE6F61">
        <w:rPr>
          <w:b/>
        </w:rPr>
        <w:t>IT IS ORDERED</w:t>
      </w:r>
      <w:r w:rsidRPr="003E333E">
        <w:t xml:space="preserve"> that, pursuant to the authority contained in Sections 1, 4(i), 4(j), 301, 303, 307, 308, 309, 316, and 319 of the Communications Act of 1934, as amended, 47 U.S.C. §§ 151, 154(i), 154(j), 301, 303, 307, 308, 309, 316, and 319, this </w:t>
      </w:r>
      <w:r w:rsidRPr="001D1987">
        <w:rPr>
          <w:i/>
          <w:iCs/>
        </w:rPr>
        <w:t>Report and Order</w:t>
      </w:r>
      <w:r>
        <w:t xml:space="preserve"> </w:t>
      </w:r>
      <w:r w:rsidRPr="00FE6F61">
        <w:rPr>
          <w:b/>
        </w:rPr>
        <w:t>IS ADOPTED</w:t>
      </w:r>
      <w:r w:rsidRPr="007266B7">
        <w:rPr>
          <w:b/>
        </w:rPr>
        <w:t xml:space="preserve"> </w:t>
      </w:r>
      <w:r>
        <w:t xml:space="preserve">and </w:t>
      </w:r>
      <w:r w:rsidRPr="00545524">
        <w:rPr>
          <w:b/>
        </w:rPr>
        <w:t>WILL BECOME EFFECTIVE</w:t>
      </w:r>
      <w:r>
        <w:t xml:space="preserve"> 30</w:t>
      </w:r>
      <w:r w:rsidRPr="00E57B65">
        <w:t xml:space="preserve"> days after publication in the Federal Register</w:t>
      </w:r>
      <w:r w:rsidRPr="003E333E">
        <w:t xml:space="preserve">. </w:t>
      </w:r>
    </w:p>
    <w:p w:rsidR="00A87BB7" w:rsidRPr="00EF0AC2" w:rsidP="009C1AED" w14:paraId="6690AEA2" w14:textId="4F37C511">
      <w:pPr>
        <w:pStyle w:val="ParaNum"/>
      </w:pPr>
      <w:r w:rsidRPr="003E333E">
        <w:rPr>
          <w:b/>
        </w:rPr>
        <w:t>IT IS FURTHER ORDERED</w:t>
      </w:r>
      <w:r w:rsidRPr="003E333E">
        <w:t xml:space="preserve"> </w:t>
      </w:r>
      <w:r>
        <w:t>that Part</w:t>
      </w:r>
      <w:r w:rsidR="00EC34C9">
        <w:t>s</w:t>
      </w:r>
      <w:r>
        <w:t xml:space="preserve"> 73</w:t>
      </w:r>
      <w:r w:rsidR="00EC34C9">
        <w:t xml:space="preserve"> and 74</w:t>
      </w:r>
      <w:r>
        <w:t xml:space="preserve"> of the Commission’s Rules </w:t>
      </w:r>
      <w:r w:rsidR="00EC34C9">
        <w:rPr>
          <w:b/>
        </w:rPr>
        <w:t>ARE</w:t>
      </w:r>
      <w:r w:rsidRPr="004F591E">
        <w:rPr>
          <w:b/>
        </w:rPr>
        <w:t xml:space="preserve"> AMENDED</w:t>
      </w:r>
      <w:r>
        <w:t xml:space="preserve"> as set forth in Appendix B</w:t>
      </w:r>
      <w:r w:rsidRPr="00C37645">
        <w:t xml:space="preserve"> </w:t>
      </w:r>
      <w:r w:rsidRPr="00AA3871">
        <w:t>and</w:t>
      </w:r>
      <w:r>
        <w:t xml:space="preserve"> such rule amendments will become effective</w:t>
      </w:r>
      <w:r w:rsidRPr="00AA3871">
        <w:t xml:space="preserve"> </w:t>
      </w:r>
      <w:r>
        <w:t>3</w:t>
      </w:r>
      <w:r w:rsidRPr="00AA3871">
        <w:t>0 days after publication in the Federal Register</w:t>
      </w:r>
      <w:r>
        <w:t>.</w:t>
      </w:r>
    </w:p>
    <w:p w:rsidR="00253246" w:rsidRPr="005565B4" w:rsidP="005565B4" w14:paraId="1FF0168F" w14:textId="13FF5B34">
      <w:pPr>
        <w:pStyle w:val="ParaNum"/>
        <w:rPr>
          <w:szCs w:val="22"/>
        </w:rPr>
      </w:pPr>
      <w:r w:rsidRPr="00FE6F61">
        <w:rPr>
          <w:b/>
        </w:rPr>
        <w:t>IT IS FURTHER ORDERED</w:t>
      </w:r>
      <w:r w:rsidRPr="00EF0AC2">
        <w:t xml:space="preserve"> that the Commission’s Consumer and Governmental Affairs Bureau, Reference Information Center, </w:t>
      </w:r>
      <w:r w:rsidRPr="00FE6F61">
        <w:rPr>
          <w:b/>
        </w:rPr>
        <w:t>SHALL SEND</w:t>
      </w:r>
      <w:r w:rsidRPr="00EF0AC2">
        <w:t xml:space="preserve"> a copy of this </w:t>
      </w:r>
      <w:r w:rsidRPr="001D1987">
        <w:rPr>
          <w:i/>
          <w:iCs/>
        </w:rPr>
        <w:t>Report and Order</w:t>
      </w:r>
      <w:r w:rsidRPr="00EF0AC2">
        <w:t xml:space="preserve">, including the Final Regulatory Flexibility Certification, to the Chief Counsel for Advocacy of the Small Business Administration. </w:t>
      </w:r>
    </w:p>
    <w:p w:rsidR="00A87BB7" w:rsidRPr="000F0B50" w:rsidP="009C1AED" w14:paraId="0C7420CF" w14:textId="2499D088">
      <w:pPr>
        <w:pStyle w:val="ParaNum"/>
        <w:rPr>
          <w:szCs w:val="22"/>
        </w:rPr>
      </w:pPr>
      <w:r w:rsidRPr="00742A9F">
        <w:rPr>
          <w:b/>
        </w:rPr>
        <w:t>IT IS FURTHER ORDERED</w:t>
      </w:r>
      <w:r w:rsidRPr="00742A9F">
        <w:t xml:space="preserve"> that the Commission </w:t>
      </w:r>
      <w:r w:rsidRPr="00742A9F">
        <w:rPr>
          <w:b/>
        </w:rPr>
        <w:t>SHALL SEND</w:t>
      </w:r>
      <w:r w:rsidRPr="00742A9F">
        <w:t xml:space="preserve"> a copy of this </w:t>
      </w:r>
      <w:r w:rsidRPr="001D1987">
        <w:rPr>
          <w:i/>
          <w:iCs/>
        </w:rPr>
        <w:t>Report and Order</w:t>
      </w:r>
      <w:r w:rsidRPr="00742A9F">
        <w:t xml:space="preserve"> in a report to be sent to Congress and the Government Accountability Office pursuant to the Congressional Review Act, </w:t>
      </w:r>
      <w:r w:rsidRPr="00742A9F">
        <w:rPr>
          <w:i/>
        </w:rPr>
        <w:t xml:space="preserve">see </w:t>
      </w:r>
      <w:r w:rsidRPr="00742A9F">
        <w:t>5 U.S.C. § 801(a)(1)(A)</w:t>
      </w:r>
      <w:r>
        <w:t>.</w:t>
      </w:r>
    </w:p>
    <w:p w:rsidR="000F0B50" w:rsidP="000F0B50" w14:paraId="1691048C" w14:textId="77777777">
      <w:pPr>
        <w:pStyle w:val="ParaNum"/>
        <w:rPr>
          <w:snapToGrid/>
          <w:kern w:val="0"/>
          <w:sz w:val="20"/>
        </w:rPr>
      </w:pPr>
      <w:r>
        <w:rPr>
          <w:b/>
          <w:bCs/>
        </w:rPr>
        <w:t>IT IS FURTHER ORDERED</w:t>
      </w:r>
      <w:r>
        <w:t xml:space="preserve"> that, should no petitions for reconsideration or petitions for judicial review be timely filed, MB Docket No. 21-263 </w:t>
      </w:r>
      <w:r>
        <w:rPr>
          <w:b/>
          <w:bCs/>
        </w:rPr>
        <w:t>SHALL BE TERMINATED</w:t>
      </w:r>
      <w:r>
        <w:t xml:space="preserve"> and its docket </w:t>
      </w:r>
      <w:r>
        <w:rPr>
          <w:b/>
          <w:bCs/>
        </w:rPr>
        <w:t>CLOSED</w:t>
      </w:r>
      <w:r>
        <w:t>.</w:t>
      </w:r>
    </w:p>
    <w:p w:rsidR="000F0B50" w:rsidRPr="00253246" w:rsidP="0018750D" w14:paraId="3BE1AC4D" w14:textId="77777777">
      <w:pPr>
        <w:pStyle w:val="ParaNum"/>
        <w:numPr>
          <w:ilvl w:val="0"/>
          <w:numId w:val="0"/>
        </w:numPr>
        <w:ind w:left="720"/>
        <w:rPr>
          <w:szCs w:val="22"/>
        </w:rPr>
      </w:pPr>
    </w:p>
    <w:p w:rsidR="00253246" w:rsidP="00253246" w14:paraId="5D00037A" w14:textId="77777777">
      <w:pPr>
        <w:pStyle w:val="ParaNum"/>
        <w:numPr>
          <w:ilvl w:val="0"/>
          <w:numId w:val="0"/>
        </w:numPr>
        <w:ind w:left="720"/>
        <w:rPr>
          <w:szCs w:val="22"/>
        </w:rPr>
      </w:pPr>
    </w:p>
    <w:p w:rsidR="00253246" w:rsidP="00253246" w14:paraId="738E9FE3" w14:textId="77777777">
      <w:pPr>
        <w:widowControl/>
      </w:pPr>
      <w:r>
        <w:tab/>
      </w:r>
      <w:r>
        <w:tab/>
      </w:r>
      <w:r>
        <w:tab/>
      </w:r>
      <w:r>
        <w:tab/>
      </w:r>
      <w:r>
        <w:tab/>
      </w:r>
      <w:r>
        <w:tab/>
      </w:r>
      <w:r>
        <w:t>FEDERAL COMMUNICATIONS COMMISSION</w:t>
      </w:r>
    </w:p>
    <w:p w:rsidR="00253246" w:rsidP="00253246" w14:paraId="4198C2F2" w14:textId="77777777">
      <w:pPr>
        <w:widowControl/>
      </w:pPr>
    </w:p>
    <w:p w:rsidR="00253246" w:rsidP="00253246" w14:paraId="1C7BA4F1" w14:textId="77777777">
      <w:pPr>
        <w:widowControl/>
      </w:pPr>
    </w:p>
    <w:p w:rsidR="00253246" w:rsidP="00253246" w14:paraId="4E738206" w14:textId="77777777">
      <w:pPr>
        <w:widowControl/>
      </w:pPr>
    </w:p>
    <w:p w:rsidR="00253246" w:rsidP="00253246" w14:paraId="404FFD2A" w14:textId="77777777">
      <w:pPr>
        <w:widowControl/>
      </w:pPr>
    </w:p>
    <w:p w:rsidR="00253246" w:rsidP="00253246" w14:paraId="57B01E0E" w14:textId="77777777">
      <w:pPr>
        <w:widowControl/>
      </w:pPr>
      <w:r>
        <w:tab/>
      </w:r>
      <w:r>
        <w:tab/>
      </w:r>
      <w:r>
        <w:tab/>
      </w:r>
      <w:r>
        <w:tab/>
      </w:r>
      <w:r>
        <w:tab/>
      </w:r>
      <w:r>
        <w:tab/>
        <w:t>Marlene H. Dortch</w:t>
      </w:r>
    </w:p>
    <w:p w:rsidR="00A87BB7" w:rsidP="00253246" w14:paraId="4A65743A" w14:textId="382F11C8">
      <w:pPr>
        <w:keepNext/>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E73E26" w:rsidRPr="003E333E" w:rsidP="00E73E26" w14:paraId="2DC57EC7" w14:textId="77777777">
      <w:pPr>
        <w:pStyle w:val="ParaNum"/>
        <w:numPr>
          <w:ilvl w:val="0"/>
          <w:numId w:val="0"/>
        </w:numPr>
        <w:tabs>
          <w:tab w:val="num" w:pos="1260"/>
        </w:tabs>
        <w:jc w:val="center"/>
      </w:pPr>
      <w:r w:rsidRPr="003E333E">
        <w:rPr>
          <w:b/>
        </w:rPr>
        <w:t>APPENDIX</w:t>
      </w:r>
      <w:r w:rsidRPr="003E333E">
        <w:t xml:space="preserve"> </w:t>
      </w:r>
      <w:r w:rsidRPr="006A0A86">
        <w:rPr>
          <w:b/>
          <w:bCs/>
        </w:rPr>
        <w:t>A</w:t>
      </w:r>
    </w:p>
    <w:p w:rsidR="00E73E26" w:rsidP="00E73E26" w14:paraId="0C9D60FA" w14:textId="50833F49">
      <w:pPr>
        <w:pStyle w:val="ParaNum"/>
        <w:numPr>
          <w:ilvl w:val="0"/>
          <w:numId w:val="0"/>
        </w:numPr>
        <w:tabs>
          <w:tab w:val="num" w:pos="1260"/>
        </w:tabs>
        <w:jc w:val="center"/>
        <w:rPr>
          <w:b/>
        </w:rPr>
      </w:pPr>
      <w:r w:rsidRPr="003E333E">
        <w:rPr>
          <w:b/>
        </w:rPr>
        <w:t>List of Commenters</w:t>
      </w:r>
    </w:p>
    <w:p w:rsidR="00E73E26" w:rsidP="00E73E26" w14:paraId="561FAB09" w14:textId="77777777">
      <w:pPr>
        <w:pStyle w:val="ParaNum"/>
        <w:numPr>
          <w:ilvl w:val="0"/>
          <w:numId w:val="0"/>
        </w:numPr>
        <w:tabs>
          <w:tab w:val="num" w:pos="1260"/>
        </w:tabs>
        <w:jc w:val="center"/>
        <w:rPr>
          <w:b/>
        </w:rPr>
      </w:pPr>
    </w:p>
    <w:p w:rsidR="00635E52" w:rsidP="00EC34C9" w14:paraId="726038B0" w14:textId="3A9843D1">
      <w:pPr>
        <w:rPr>
          <w:bCs/>
          <w:i/>
          <w:iCs/>
          <w:szCs w:val="22"/>
        </w:rPr>
      </w:pPr>
      <w:r>
        <w:rPr>
          <w:bCs/>
          <w:i/>
          <w:iCs/>
          <w:szCs w:val="22"/>
        </w:rPr>
        <w:t>Commenters</w:t>
      </w:r>
    </w:p>
    <w:p w:rsidR="00635E52" w:rsidRPr="00B17C51" w:rsidP="00EC34C9" w14:paraId="7E6E7606" w14:textId="77777777">
      <w:pPr>
        <w:rPr>
          <w:bCs/>
          <w:i/>
          <w:iCs/>
          <w:szCs w:val="22"/>
        </w:rPr>
      </w:pPr>
    </w:p>
    <w:p w:rsidR="00E7652D" w:rsidP="00EC34C9" w14:paraId="338D2C2B" w14:textId="3914E9F5">
      <w:pPr>
        <w:rPr>
          <w:bCs/>
          <w:szCs w:val="22"/>
        </w:rPr>
      </w:pPr>
      <w:r>
        <w:rPr>
          <w:bCs/>
          <w:szCs w:val="22"/>
        </w:rPr>
        <w:t>Aaron Read</w:t>
      </w:r>
    </w:p>
    <w:p w:rsidR="00E7652D" w:rsidP="00EC34C9" w14:paraId="49E43254" w14:textId="77777777">
      <w:pPr>
        <w:rPr>
          <w:bCs/>
          <w:szCs w:val="22"/>
        </w:rPr>
      </w:pPr>
      <w:r>
        <w:rPr>
          <w:bCs/>
          <w:szCs w:val="22"/>
        </w:rPr>
        <w:t xml:space="preserve">Cohen, </w:t>
      </w:r>
      <w:r>
        <w:rPr>
          <w:bCs/>
          <w:szCs w:val="22"/>
        </w:rPr>
        <w:t>Dippell</w:t>
      </w:r>
      <w:r>
        <w:rPr>
          <w:bCs/>
          <w:szCs w:val="22"/>
        </w:rPr>
        <w:t xml:space="preserve"> and </w:t>
      </w:r>
      <w:r>
        <w:rPr>
          <w:bCs/>
          <w:szCs w:val="22"/>
        </w:rPr>
        <w:t>Everist</w:t>
      </w:r>
      <w:r>
        <w:rPr>
          <w:bCs/>
          <w:szCs w:val="22"/>
        </w:rPr>
        <w:t>, P.C.</w:t>
      </w:r>
    </w:p>
    <w:p w:rsidR="00E7652D" w:rsidP="00EC34C9" w14:paraId="526BB002" w14:textId="77777777">
      <w:pPr>
        <w:rPr>
          <w:bCs/>
          <w:szCs w:val="22"/>
        </w:rPr>
      </w:pPr>
      <w:r>
        <w:rPr>
          <w:bCs/>
          <w:szCs w:val="22"/>
        </w:rPr>
        <w:t xml:space="preserve">Edward A Schober, PE/ </w:t>
      </w:r>
      <w:r>
        <w:rPr>
          <w:bCs/>
          <w:szCs w:val="22"/>
        </w:rPr>
        <w:t>Radiotechniques</w:t>
      </w:r>
      <w:r>
        <w:rPr>
          <w:bCs/>
          <w:szCs w:val="22"/>
        </w:rPr>
        <w:t xml:space="preserve"> Engineering, LLC</w:t>
      </w:r>
    </w:p>
    <w:p w:rsidR="00E7652D" w:rsidP="00EC34C9" w14:paraId="084C215C" w14:textId="77777777">
      <w:pPr>
        <w:rPr>
          <w:bCs/>
          <w:szCs w:val="22"/>
        </w:rPr>
      </w:pPr>
      <w:r>
        <w:rPr>
          <w:bCs/>
          <w:szCs w:val="22"/>
        </w:rPr>
        <w:t>National Association of Broadcasters</w:t>
      </w:r>
    </w:p>
    <w:p w:rsidR="00E7652D" w:rsidP="00EC34C9" w14:paraId="6BA877B9" w14:textId="54844858">
      <w:pPr>
        <w:rPr>
          <w:bCs/>
          <w:szCs w:val="22"/>
        </w:rPr>
      </w:pPr>
      <w:r>
        <w:rPr>
          <w:bCs/>
          <w:szCs w:val="22"/>
        </w:rPr>
        <w:t>REC Networks</w:t>
      </w:r>
    </w:p>
    <w:p w:rsidR="00635E52" w:rsidP="00EC34C9" w14:paraId="71D84D61" w14:textId="121D7448">
      <w:pPr>
        <w:rPr>
          <w:bCs/>
          <w:szCs w:val="22"/>
        </w:rPr>
      </w:pPr>
    </w:p>
    <w:p w:rsidR="00635E52" w:rsidP="00EC34C9" w14:paraId="0F02B352" w14:textId="02D6F262">
      <w:pPr>
        <w:rPr>
          <w:bCs/>
          <w:szCs w:val="22"/>
        </w:rPr>
      </w:pPr>
      <w:r>
        <w:rPr>
          <w:bCs/>
          <w:i/>
          <w:iCs/>
          <w:szCs w:val="22"/>
        </w:rPr>
        <w:t>Reply Commenters</w:t>
      </w:r>
    </w:p>
    <w:p w:rsidR="00635E52" w:rsidP="00EC34C9" w14:paraId="0B1D3C26" w14:textId="7B99272A">
      <w:pPr>
        <w:rPr>
          <w:bCs/>
          <w:szCs w:val="22"/>
        </w:rPr>
      </w:pPr>
    </w:p>
    <w:p w:rsidR="00635E52" w:rsidP="00635E52" w14:paraId="10B4FFF7" w14:textId="77777777">
      <w:pPr>
        <w:rPr>
          <w:bCs/>
          <w:szCs w:val="22"/>
        </w:rPr>
      </w:pPr>
      <w:r>
        <w:rPr>
          <w:bCs/>
          <w:szCs w:val="22"/>
        </w:rPr>
        <w:t xml:space="preserve">Cohen, </w:t>
      </w:r>
      <w:r>
        <w:rPr>
          <w:bCs/>
          <w:szCs w:val="22"/>
        </w:rPr>
        <w:t>Dippell</w:t>
      </w:r>
      <w:r>
        <w:rPr>
          <w:bCs/>
          <w:szCs w:val="22"/>
        </w:rPr>
        <w:t xml:space="preserve"> and </w:t>
      </w:r>
      <w:r>
        <w:rPr>
          <w:bCs/>
          <w:szCs w:val="22"/>
        </w:rPr>
        <w:t>Everist</w:t>
      </w:r>
      <w:r>
        <w:rPr>
          <w:bCs/>
          <w:szCs w:val="22"/>
        </w:rPr>
        <w:t>, P.C.</w:t>
      </w:r>
    </w:p>
    <w:p w:rsidR="00635E52" w:rsidP="00635E52" w14:paraId="5CA4D550" w14:textId="77777777">
      <w:pPr>
        <w:rPr>
          <w:bCs/>
          <w:szCs w:val="22"/>
        </w:rPr>
      </w:pPr>
      <w:r>
        <w:rPr>
          <w:bCs/>
          <w:szCs w:val="22"/>
        </w:rPr>
        <w:t>REC Networks</w:t>
      </w:r>
    </w:p>
    <w:p w:rsidR="00E7652D" w:rsidP="00EC34C9" w14:paraId="33300B21" w14:textId="77777777">
      <w:pPr>
        <w:rPr>
          <w:bCs/>
          <w:szCs w:val="22"/>
        </w:rPr>
      </w:pPr>
    </w:p>
    <w:p w:rsidR="00C97BD1" w:rsidP="00EC34C9" w14:paraId="20CDC380" w14:textId="4E29C324">
      <w:pPr>
        <w:rPr>
          <w:bCs/>
          <w:szCs w:val="22"/>
        </w:rPr>
        <w:sectPr w:rsidSect="00E73E26">
          <w:footerReference w:type="first" r:id="rId10"/>
          <w:endnotePr>
            <w:numFmt w:val="decimal"/>
          </w:endnotePr>
          <w:pgSz w:w="12240" w:h="15840"/>
          <w:pgMar w:top="1440" w:right="1440" w:bottom="720" w:left="1440" w:header="720" w:footer="720" w:gutter="0"/>
          <w:cols w:space="720"/>
          <w:noEndnote/>
          <w:titlePg/>
        </w:sectPr>
      </w:pPr>
    </w:p>
    <w:p w:rsidR="00E73E26" w:rsidRPr="003E333E" w:rsidP="00E73E26" w14:paraId="6FFB8CB3" w14:textId="77777777">
      <w:pPr>
        <w:spacing w:after="120"/>
        <w:jc w:val="center"/>
        <w:rPr>
          <w:b/>
        </w:rPr>
      </w:pPr>
      <w:r w:rsidRPr="003E333E">
        <w:rPr>
          <w:b/>
        </w:rPr>
        <w:t>APPENDIX B</w:t>
      </w:r>
    </w:p>
    <w:p w:rsidR="00E73E26" w:rsidRPr="003E333E" w:rsidP="00E73E26" w14:paraId="20519EAC" w14:textId="2739CE61">
      <w:pPr>
        <w:pStyle w:val="ParaNum"/>
        <w:numPr>
          <w:ilvl w:val="0"/>
          <w:numId w:val="0"/>
        </w:numPr>
        <w:tabs>
          <w:tab w:val="num" w:pos="1260"/>
        </w:tabs>
        <w:jc w:val="center"/>
        <w:rPr>
          <w:b/>
        </w:rPr>
      </w:pPr>
      <w:r>
        <w:rPr>
          <w:b/>
        </w:rPr>
        <w:t>Final</w:t>
      </w:r>
      <w:r w:rsidRPr="003E333E">
        <w:rPr>
          <w:b/>
        </w:rPr>
        <w:t xml:space="preserve"> Rule</w:t>
      </w:r>
      <w:r w:rsidR="008F5F56">
        <w:rPr>
          <w:b/>
        </w:rPr>
        <w:t>s</w:t>
      </w:r>
      <w:r w:rsidRPr="003E333E">
        <w:rPr>
          <w:b/>
        </w:rPr>
        <w:t xml:space="preserve"> </w:t>
      </w:r>
    </w:p>
    <w:p w:rsidR="00EA1C19" w:rsidP="00EA1C19" w14:paraId="22ABDF5C" w14:textId="390D9904">
      <w:pPr>
        <w:pStyle w:val="ParaNum"/>
        <w:numPr>
          <w:ilvl w:val="0"/>
          <w:numId w:val="0"/>
        </w:numPr>
        <w:spacing w:after="0" w:line="480" w:lineRule="auto"/>
      </w:pPr>
      <w:r w:rsidRPr="00EA1C19">
        <w:t xml:space="preserve">For the reasons discussed in the preamble, the Federal Communications Commission amends 47 CFR </w:t>
      </w:r>
      <w:r>
        <w:t>c</w:t>
      </w:r>
      <w:r w:rsidRPr="00EA1C19">
        <w:t>hapter 1, parts 73 and 74 as follows:</w:t>
      </w:r>
    </w:p>
    <w:p w:rsidR="00EA1C19" w:rsidRPr="00EA1C19" w:rsidP="00EA1C19" w14:paraId="59B40DFC" w14:textId="2C95CEE6">
      <w:pPr>
        <w:spacing w:line="480" w:lineRule="auto"/>
        <w:rPr>
          <w:b/>
          <w:bCs/>
          <w:szCs w:val="24"/>
        </w:rPr>
      </w:pPr>
      <w:r>
        <w:rPr>
          <w:b/>
          <w:bCs/>
          <w:szCs w:val="24"/>
        </w:rPr>
        <w:t>PART 73 – RADIO BROADCAST SERVICES</w:t>
      </w:r>
    </w:p>
    <w:p w:rsidR="00E73E26" w:rsidRPr="003E333E" w:rsidP="00EA1C19" w14:paraId="7DF856DE" w14:textId="2AF20B65">
      <w:pPr>
        <w:numPr>
          <w:ilvl w:val="0"/>
          <w:numId w:val="8"/>
        </w:numPr>
        <w:spacing w:line="480" w:lineRule="auto"/>
        <w:ind w:left="0" w:firstLine="360"/>
      </w:pPr>
      <w:r w:rsidRPr="003E333E">
        <w:t xml:space="preserve">The </w:t>
      </w:r>
      <w:r w:rsidRPr="00EA1C19">
        <w:t>authority</w:t>
      </w:r>
      <w:r w:rsidRPr="003E333E">
        <w:t xml:space="preserve"> </w:t>
      </w:r>
      <w:r w:rsidRPr="00EA1C19">
        <w:rPr>
          <w:szCs w:val="24"/>
        </w:rPr>
        <w:t>citation</w:t>
      </w:r>
      <w:r w:rsidRPr="003E333E">
        <w:t xml:space="preserve"> for part 7</w:t>
      </w:r>
      <w:r>
        <w:t>3</w:t>
      </w:r>
      <w:r w:rsidRPr="003E333E">
        <w:t xml:space="preserve"> continues to read as follows:</w:t>
      </w:r>
    </w:p>
    <w:p w:rsidR="00E73E26" w:rsidRPr="003E333E" w:rsidP="00D87615" w14:paraId="3B298E77" w14:textId="77777777">
      <w:pPr>
        <w:pStyle w:val="ParaNum"/>
        <w:numPr>
          <w:ilvl w:val="0"/>
          <w:numId w:val="0"/>
        </w:numPr>
        <w:spacing w:after="0" w:line="480" w:lineRule="auto"/>
      </w:pPr>
      <w:r w:rsidRPr="003E333E">
        <w:t xml:space="preserve">Authority:  47 U.S.C. 154, </w:t>
      </w:r>
      <w:r w:rsidRPr="009652D6">
        <w:t>155, 301, 303, 307, 309, 310, 334, 336, 339.</w:t>
      </w:r>
    </w:p>
    <w:p w:rsidR="001A1849" w:rsidRPr="004414F9" w:rsidP="00D87615" w14:paraId="4D0A3A0C" w14:textId="7E520B59">
      <w:pPr>
        <w:numPr>
          <w:ilvl w:val="0"/>
          <w:numId w:val="8"/>
        </w:numPr>
        <w:spacing w:line="480" w:lineRule="auto"/>
        <w:ind w:left="0" w:firstLine="360"/>
        <w:rPr>
          <w:szCs w:val="24"/>
        </w:rPr>
      </w:pPr>
      <w:r w:rsidRPr="004414F9">
        <w:rPr>
          <w:szCs w:val="24"/>
        </w:rPr>
        <w:t xml:space="preserve">Amend § 73.207 by revising </w:t>
      </w:r>
      <w:r w:rsidR="00360441">
        <w:rPr>
          <w:szCs w:val="24"/>
        </w:rPr>
        <w:t xml:space="preserve">the first sentence of the introductory text of paragraph (b) and </w:t>
      </w:r>
      <w:r w:rsidRPr="004414F9">
        <w:rPr>
          <w:szCs w:val="24"/>
        </w:rPr>
        <w:t>paragraphs (b)</w:t>
      </w:r>
      <w:r w:rsidR="00A36B6C">
        <w:rPr>
          <w:szCs w:val="24"/>
        </w:rPr>
        <w:t xml:space="preserve">(1), </w:t>
      </w:r>
      <w:r w:rsidRPr="004414F9">
        <w:rPr>
          <w:szCs w:val="24"/>
        </w:rPr>
        <w:t xml:space="preserve">(2) and (3) to read as follows: </w:t>
      </w:r>
    </w:p>
    <w:p w:rsidR="001A1849" w:rsidRPr="0048207A" w:rsidP="00D87615" w14:paraId="1C61B9A0" w14:textId="77777777">
      <w:pPr>
        <w:spacing w:line="480" w:lineRule="auto"/>
        <w:rPr>
          <w:b/>
          <w:bCs/>
          <w:szCs w:val="24"/>
        </w:rPr>
      </w:pPr>
      <w:r w:rsidRPr="0048207A">
        <w:rPr>
          <w:b/>
          <w:bCs/>
          <w:szCs w:val="24"/>
        </w:rPr>
        <w:t>§ 73.207 Minimum distance separation between stations.</w:t>
      </w:r>
    </w:p>
    <w:p w:rsidR="001A1849" w:rsidRPr="00E473B1" w:rsidP="001A1849" w14:paraId="6C1AEBBD" w14:textId="77777777">
      <w:pPr>
        <w:spacing w:line="480" w:lineRule="auto"/>
        <w:rPr>
          <w:b/>
          <w:bCs/>
          <w:szCs w:val="24"/>
        </w:rPr>
      </w:pPr>
      <w:r w:rsidRPr="00E473B1">
        <w:rPr>
          <w:b/>
          <w:bCs/>
          <w:szCs w:val="24"/>
        </w:rPr>
        <w:t>* * * * *</w:t>
      </w:r>
    </w:p>
    <w:p w:rsidR="001A1849" w:rsidP="001A1849" w14:paraId="5FD2AFD6" w14:textId="69DD4389">
      <w:pPr>
        <w:spacing w:line="480" w:lineRule="auto"/>
        <w:rPr>
          <w:szCs w:val="24"/>
        </w:rPr>
      </w:pPr>
      <w:r w:rsidRPr="0048207A">
        <w:rPr>
          <w:szCs w:val="24"/>
        </w:rPr>
        <w:t xml:space="preserve">(b) </w:t>
      </w:r>
      <w:r w:rsidRPr="00454F76" w:rsidR="00454F76">
        <w:rPr>
          <w:szCs w:val="24"/>
        </w:rPr>
        <w:t xml:space="preserve">The distances listed in Tables </w:t>
      </w:r>
      <w:r w:rsidR="00454F76">
        <w:rPr>
          <w:szCs w:val="24"/>
        </w:rPr>
        <w:t>1</w:t>
      </w:r>
      <w:r w:rsidRPr="00454F76" w:rsidR="00454F76">
        <w:rPr>
          <w:szCs w:val="24"/>
        </w:rPr>
        <w:t xml:space="preserve">, </w:t>
      </w:r>
      <w:r w:rsidR="00454F76">
        <w:rPr>
          <w:szCs w:val="24"/>
        </w:rPr>
        <w:t>2</w:t>
      </w:r>
      <w:r w:rsidRPr="00454F76" w:rsidR="00454F76">
        <w:rPr>
          <w:szCs w:val="24"/>
        </w:rPr>
        <w:t xml:space="preserve">, and </w:t>
      </w:r>
      <w:r w:rsidR="00454F76">
        <w:rPr>
          <w:szCs w:val="24"/>
        </w:rPr>
        <w:t>3</w:t>
      </w:r>
      <w:r w:rsidRPr="00454F76" w:rsidR="00454F76">
        <w:rPr>
          <w:szCs w:val="24"/>
        </w:rPr>
        <w:t xml:space="preserve"> apply to allotments and assignments on the same channel and each of five pairs of adjacent channels. </w:t>
      </w:r>
      <w:r w:rsidRPr="00E473B1">
        <w:rPr>
          <w:b/>
          <w:bCs/>
          <w:szCs w:val="24"/>
        </w:rPr>
        <w:t>* * *</w:t>
      </w:r>
    </w:p>
    <w:p w:rsidR="00A36B6C" w:rsidP="001A1849" w14:paraId="70428E7B" w14:textId="617EE2F8">
      <w:pPr>
        <w:spacing w:line="480" w:lineRule="auto"/>
        <w:rPr>
          <w:szCs w:val="24"/>
        </w:rPr>
      </w:pPr>
      <w:r>
        <w:rPr>
          <w:szCs w:val="24"/>
        </w:rPr>
        <w:t xml:space="preserve">(1) </w:t>
      </w:r>
      <w:r w:rsidR="00120A08">
        <w:rPr>
          <w:i/>
          <w:iCs/>
          <w:szCs w:val="24"/>
        </w:rPr>
        <w:t xml:space="preserve">Domestic distance separation.  </w:t>
      </w:r>
      <w:r w:rsidRPr="00A36B6C">
        <w:rPr>
          <w:szCs w:val="24"/>
        </w:rPr>
        <w:t xml:space="preserve">Domestic allotments and assignments must be separated from each other by not less than the distances in Table </w:t>
      </w:r>
      <w:r w:rsidR="00454F76">
        <w:rPr>
          <w:szCs w:val="24"/>
        </w:rPr>
        <w:t>1</w:t>
      </w:r>
      <w:r w:rsidRPr="00A36B6C">
        <w:rPr>
          <w:szCs w:val="24"/>
        </w:rPr>
        <w:t xml:space="preserve"> </w:t>
      </w:r>
      <w:r w:rsidR="003148BA">
        <w:rPr>
          <w:szCs w:val="24"/>
        </w:rPr>
        <w:t>to this paragraph (b)</w:t>
      </w:r>
      <w:r w:rsidRPr="00A36B6C">
        <w:rPr>
          <w:szCs w:val="24"/>
        </w:rPr>
        <w:t>:</w:t>
      </w:r>
    </w:p>
    <w:tbl>
      <w:tblPr>
        <w:tblStyle w:val="TableGrid"/>
        <w:tblW w:w="9355" w:type="dxa"/>
        <w:tblLook w:val="04A0"/>
      </w:tblPr>
      <w:tblGrid>
        <w:gridCol w:w="1615"/>
        <w:gridCol w:w="1890"/>
        <w:gridCol w:w="1800"/>
        <w:gridCol w:w="1980"/>
        <w:gridCol w:w="2070"/>
      </w:tblGrid>
      <w:tr w14:paraId="0348D669" w14:textId="77777777" w:rsidTr="009D0C78">
        <w:tblPrEx>
          <w:tblW w:w="9355" w:type="dxa"/>
          <w:tblLook w:val="04A0"/>
        </w:tblPrEx>
        <w:trPr>
          <w:trHeight w:val="94"/>
        </w:trPr>
        <w:tc>
          <w:tcPr>
            <w:tcW w:w="9355" w:type="dxa"/>
            <w:gridSpan w:val="5"/>
          </w:tcPr>
          <w:p w:rsidR="003148BA" w:rsidP="009D0C78" w14:paraId="045D1DB2" w14:textId="45409234">
            <w:pPr>
              <w:spacing w:line="480" w:lineRule="auto"/>
              <w:rPr>
                <w:szCs w:val="24"/>
              </w:rPr>
            </w:pPr>
            <w:r w:rsidRPr="0048207A">
              <w:rPr>
                <w:b/>
                <w:bCs/>
                <w:szCs w:val="24"/>
              </w:rPr>
              <w:t xml:space="preserve">Table </w:t>
            </w:r>
            <w:r w:rsidR="00454F76">
              <w:rPr>
                <w:b/>
                <w:bCs/>
                <w:szCs w:val="24"/>
              </w:rPr>
              <w:t>1</w:t>
            </w:r>
            <w:r w:rsidRPr="004414F9">
              <w:rPr>
                <w:b/>
                <w:bCs/>
                <w:szCs w:val="24"/>
              </w:rPr>
              <w:t xml:space="preserve"> to </w:t>
            </w:r>
            <w:r w:rsidR="002745AA">
              <w:rPr>
                <w:b/>
                <w:bCs/>
                <w:szCs w:val="24"/>
              </w:rPr>
              <w:t>p</w:t>
            </w:r>
            <w:r w:rsidRPr="004414F9">
              <w:rPr>
                <w:b/>
                <w:bCs/>
                <w:szCs w:val="24"/>
              </w:rPr>
              <w:t>aragraph (b)—</w:t>
            </w:r>
            <w:r w:rsidRPr="0048207A" w:rsidR="002D30B9">
              <w:rPr>
                <w:b/>
                <w:bCs/>
                <w:szCs w:val="24"/>
              </w:rPr>
              <w:t xml:space="preserve">Minimum Distance Separation Requirements </w:t>
            </w:r>
            <w:r w:rsidR="002D30B9">
              <w:rPr>
                <w:b/>
                <w:bCs/>
                <w:szCs w:val="24"/>
              </w:rPr>
              <w:t>i</w:t>
            </w:r>
            <w:r w:rsidRPr="0048207A" w:rsidR="002D30B9">
              <w:rPr>
                <w:b/>
                <w:bCs/>
                <w:szCs w:val="24"/>
              </w:rPr>
              <w:t>n Kilometers</w:t>
            </w:r>
            <w:r>
              <w:rPr>
                <w:b/>
                <w:bCs/>
                <w:szCs w:val="24"/>
              </w:rPr>
              <w:t xml:space="preserve"> (Miles)</w:t>
            </w:r>
          </w:p>
        </w:tc>
      </w:tr>
      <w:tr w14:paraId="4D539465" w14:textId="77777777" w:rsidTr="00086CAD">
        <w:tblPrEx>
          <w:tblW w:w="9355" w:type="dxa"/>
          <w:tblLook w:val="04A0"/>
        </w:tblPrEx>
        <w:trPr>
          <w:trHeight w:val="94"/>
        </w:trPr>
        <w:tc>
          <w:tcPr>
            <w:tcW w:w="1615" w:type="dxa"/>
          </w:tcPr>
          <w:p w:rsidR="003148BA" w:rsidP="002D30B9" w14:paraId="1C563C15" w14:textId="7C487FD6">
            <w:pPr>
              <w:spacing w:line="480" w:lineRule="auto"/>
              <w:jc w:val="center"/>
              <w:rPr>
                <w:szCs w:val="24"/>
              </w:rPr>
            </w:pPr>
            <w:r w:rsidRPr="0048207A">
              <w:rPr>
                <w:color w:val="000000"/>
                <w:szCs w:val="24"/>
              </w:rPr>
              <w:t>Relation</w:t>
            </w:r>
          </w:p>
        </w:tc>
        <w:tc>
          <w:tcPr>
            <w:tcW w:w="1890" w:type="dxa"/>
          </w:tcPr>
          <w:p w:rsidR="003148BA" w:rsidP="002D30B9" w14:paraId="334BC57A" w14:textId="787ADDF8">
            <w:pPr>
              <w:spacing w:line="480" w:lineRule="auto"/>
              <w:jc w:val="center"/>
              <w:rPr>
                <w:szCs w:val="24"/>
              </w:rPr>
            </w:pPr>
            <w:r>
              <w:rPr>
                <w:color w:val="000000"/>
                <w:szCs w:val="24"/>
              </w:rPr>
              <w:t>Co-Channel</w:t>
            </w:r>
          </w:p>
        </w:tc>
        <w:tc>
          <w:tcPr>
            <w:tcW w:w="1800" w:type="dxa"/>
          </w:tcPr>
          <w:p w:rsidR="003148BA" w:rsidP="002D30B9" w14:paraId="7CE3AD9C" w14:textId="6F892EE4">
            <w:pPr>
              <w:spacing w:line="480" w:lineRule="auto"/>
              <w:jc w:val="center"/>
              <w:rPr>
                <w:szCs w:val="24"/>
              </w:rPr>
            </w:pPr>
            <w:r w:rsidRPr="0048207A">
              <w:rPr>
                <w:color w:val="000000"/>
                <w:szCs w:val="24"/>
              </w:rPr>
              <w:t>200 kHz</w:t>
            </w:r>
          </w:p>
        </w:tc>
        <w:tc>
          <w:tcPr>
            <w:tcW w:w="1980" w:type="dxa"/>
          </w:tcPr>
          <w:p w:rsidR="003148BA" w:rsidP="002D30B9" w14:paraId="45884723" w14:textId="77876F29">
            <w:pPr>
              <w:spacing w:line="480" w:lineRule="auto"/>
              <w:jc w:val="center"/>
              <w:rPr>
                <w:szCs w:val="24"/>
              </w:rPr>
            </w:pPr>
            <w:r w:rsidRPr="0048207A">
              <w:rPr>
                <w:color w:val="000000"/>
                <w:szCs w:val="24"/>
              </w:rPr>
              <w:t>400</w:t>
            </w:r>
            <w:r>
              <w:rPr>
                <w:color w:val="000000"/>
                <w:szCs w:val="24"/>
              </w:rPr>
              <w:t>/600</w:t>
            </w:r>
            <w:r w:rsidRPr="0048207A">
              <w:rPr>
                <w:color w:val="000000"/>
                <w:szCs w:val="24"/>
              </w:rPr>
              <w:t xml:space="preserve"> kHz</w:t>
            </w:r>
          </w:p>
        </w:tc>
        <w:tc>
          <w:tcPr>
            <w:tcW w:w="2070" w:type="dxa"/>
          </w:tcPr>
          <w:p w:rsidR="003148BA" w:rsidP="002D30B9" w14:paraId="181DE129" w14:textId="0AF0B7C4">
            <w:pPr>
              <w:spacing w:line="480" w:lineRule="auto"/>
              <w:jc w:val="center"/>
              <w:rPr>
                <w:szCs w:val="24"/>
              </w:rPr>
            </w:pPr>
            <w:r w:rsidRPr="0048207A">
              <w:rPr>
                <w:color w:val="000000"/>
                <w:szCs w:val="24"/>
              </w:rPr>
              <w:t>10.6/10.8 MHz</w:t>
            </w:r>
            <w:r w:rsidR="00086CAD">
              <w:rPr>
                <w:color w:val="000000"/>
                <w:szCs w:val="24"/>
              </w:rPr>
              <w:t xml:space="preserve"> (I.F.)</w:t>
            </w:r>
          </w:p>
        </w:tc>
      </w:tr>
      <w:tr w14:paraId="1EED7668" w14:textId="77777777" w:rsidTr="009D0C78">
        <w:tblPrEx>
          <w:tblW w:w="9355" w:type="dxa"/>
          <w:tblLook w:val="04A0"/>
        </w:tblPrEx>
        <w:trPr>
          <w:trHeight w:val="581"/>
        </w:trPr>
        <w:tc>
          <w:tcPr>
            <w:tcW w:w="9355" w:type="dxa"/>
            <w:gridSpan w:val="5"/>
          </w:tcPr>
          <w:p w:rsidR="002D30B9" w:rsidRPr="00E473B1" w:rsidP="009D0C78" w14:paraId="4DD27C0A" w14:textId="5C844E55">
            <w:pPr>
              <w:spacing w:line="480" w:lineRule="auto"/>
              <w:ind w:left="720"/>
              <w:jc w:val="center"/>
              <w:rPr>
                <w:b/>
                <w:bCs/>
                <w:szCs w:val="24"/>
              </w:rPr>
            </w:pPr>
            <w:r w:rsidRPr="00E473B1">
              <w:rPr>
                <w:b/>
                <w:bCs/>
                <w:szCs w:val="24"/>
              </w:rPr>
              <w:t>* * * * * * *</w:t>
            </w:r>
          </w:p>
        </w:tc>
      </w:tr>
    </w:tbl>
    <w:p w:rsidR="00913603" w:rsidP="001A1849" w14:paraId="6852B4E2" w14:textId="77777777">
      <w:pPr>
        <w:spacing w:line="480" w:lineRule="auto"/>
        <w:rPr>
          <w:szCs w:val="24"/>
        </w:rPr>
      </w:pPr>
    </w:p>
    <w:p w:rsidR="001A1849" w:rsidRPr="0048207A" w:rsidP="001A1849" w14:paraId="30B0A073" w14:textId="53B8D83C">
      <w:pPr>
        <w:spacing w:line="480" w:lineRule="auto"/>
        <w:rPr>
          <w:szCs w:val="24"/>
        </w:rPr>
      </w:pPr>
      <w:r w:rsidRPr="0048207A">
        <w:rPr>
          <w:szCs w:val="24"/>
        </w:rPr>
        <w:t>(2</w:t>
      </w:r>
      <w:bookmarkStart w:id="33" w:name="_Hlk74218591"/>
      <w:r w:rsidRPr="0048207A">
        <w:rPr>
          <w:szCs w:val="24"/>
        </w:rPr>
        <w:t xml:space="preserve">) </w:t>
      </w:r>
      <w:r w:rsidR="00120A08">
        <w:rPr>
          <w:i/>
          <w:iCs/>
          <w:szCs w:val="24"/>
        </w:rPr>
        <w:t xml:space="preserve">Canadian border distance separation.  </w:t>
      </w:r>
      <w:r w:rsidR="005F7D2D">
        <w:rPr>
          <w:szCs w:val="24"/>
        </w:rPr>
        <w:t xml:space="preserve">Under the </w:t>
      </w:r>
      <w:r w:rsidRPr="0048207A" w:rsidR="005F7D2D">
        <w:rPr>
          <w:szCs w:val="24"/>
        </w:rPr>
        <w:t>1991 United States-Canada FM Broadcasting Agreement</w:t>
      </w:r>
      <w:r w:rsidR="005F7D2D">
        <w:rPr>
          <w:szCs w:val="24"/>
        </w:rPr>
        <w:t xml:space="preserve">, </w:t>
      </w:r>
      <w:r w:rsidR="005715FE">
        <w:rPr>
          <w:szCs w:val="24"/>
        </w:rPr>
        <w:t xml:space="preserve">as amended, </w:t>
      </w:r>
      <w:r w:rsidRPr="0048207A" w:rsidR="005F7D2D">
        <w:rPr>
          <w:szCs w:val="24"/>
        </w:rPr>
        <w:t xml:space="preserve">any domestic U.S. allotment or assignment within 320 kilometers (199 miles) of the common border must </w:t>
      </w:r>
      <w:r w:rsidR="005F7D2D">
        <w:rPr>
          <w:szCs w:val="24"/>
        </w:rPr>
        <w:t xml:space="preserve">either satisfy the contour overlap provisions set out in the Agreement or </w:t>
      </w:r>
      <w:r w:rsidRPr="0048207A" w:rsidR="005F7D2D">
        <w:rPr>
          <w:szCs w:val="24"/>
        </w:rPr>
        <w:t xml:space="preserve">be separated from Canadian allotments and assignments by not less than the distance given in Table </w:t>
      </w:r>
      <w:r w:rsidR="005F7D2D">
        <w:rPr>
          <w:szCs w:val="24"/>
        </w:rPr>
        <w:t>2 to this paragraph (b)</w:t>
      </w:r>
      <w:r w:rsidR="009D0056">
        <w:rPr>
          <w:szCs w:val="24"/>
        </w:rPr>
        <w:t>, using the distance calculation methodology set out in the Agreement</w:t>
      </w:r>
      <w:r w:rsidRPr="0048207A" w:rsidR="005F7D2D">
        <w:rPr>
          <w:szCs w:val="24"/>
        </w:rPr>
        <w:t xml:space="preserve">.  </w:t>
      </w:r>
      <w:r w:rsidRPr="0048207A">
        <w:rPr>
          <w:szCs w:val="24"/>
        </w:rPr>
        <w:t xml:space="preserve">When applying Table </w:t>
      </w:r>
      <w:r w:rsidR="00454F76">
        <w:rPr>
          <w:szCs w:val="24"/>
        </w:rPr>
        <w:t>2</w:t>
      </w:r>
      <w:r w:rsidRPr="0048207A">
        <w:rPr>
          <w:szCs w:val="24"/>
        </w:rPr>
        <w:t>, U.S. Class C0 allotments and assignments are considered to be Class C; U.S. Class C2 allotments and assignments are considered to be Class B; and U.S. Class C3 allotments and assignments are considered to be Class B1</w:t>
      </w:r>
      <w:r w:rsidR="00A0171D">
        <w:rPr>
          <w:szCs w:val="24"/>
        </w:rPr>
        <w:t>.</w:t>
      </w:r>
      <w:r w:rsidR="008267AD">
        <w:rPr>
          <w:szCs w:val="24"/>
        </w:rPr>
        <w:t xml:space="preserve"> </w:t>
      </w:r>
    </w:p>
    <w:tbl>
      <w:tblPr>
        <w:tblStyle w:val="TableGrid"/>
        <w:tblW w:w="9355" w:type="dxa"/>
        <w:tblLook w:val="04A0"/>
      </w:tblPr>
      <w:tblGrid>
        <w:gridCol w:w="1345"/>
        <w:gridCol w:w="1530"/>
        <w:gridCol w:w="1350"/>
        <w:gridCol w:w="1350"/>
        <w:gridCol w:w="1350"/>
        <w:gridCol w:w="2430"/>
      </w:tblGrid>
      <w:tr w14:paraId="587BA04A" w14:textId="77777777" w:rsidTr="00531D23">
        <w:tblPrEx>
          <w:tblW w:w="9355" w:type="dxa"/>
          <w:tblLook w:val="04A0"/>
        </w:tblPrEx>
        <w:trPr>
          <w:trHeight w:val="94"/>
        </w:trPr>
        <w:tc>
          <w:tcPr>
            <w:tcW w:w="9355" w:type="dxa"/>
            <w:gridSpan w:val="6"/>
          </w:tcPr>
          <w:bookmarkEnd w:id="33"/>
          <w:p w:rsidR="005E46F6" w:rsidP="00531D23" w14:paraId="71F17DFF" w14:textId="7DCA5317">
            <w:pPr>
              <w:spacing w:line="480" w:lineRule="auto"/>
              <w:rPr>
                <w:szCs w:val="24"/>
              </w:rPr>
            </w:pPr>
            <w:r w:rsidRPr="0048207A">
              <w:rPr>
                <w:b/>
                <w:bCs/>
                <w:szCs w:val="24"/>
              </w:rPr>
              <w:t xml:space="preserve">Table </w:t>
            </w:r>
            <w:r w:rsidR="00454F76">
              <w:rPr>
                <w:b/>
                <w:bCs/>
                <w:szCs w:val="24"/>
              </w:rPr>
              <w:t>2</w:t>
            </w:r>
            <w:r w:rsidRPr="004414F9">
              <w:rPr>
                <w:b/>
                <w:bCs/>
                <w:szCs w:val="24"/>
              </w:rPr>
              <w:t xml:space="preserve"> to </w:t>
            </w:r>
            <w:r w:rsidR="002745AA">
              <w:rPr>
                <w:b/>
                <w:bCs/>
                <w:szCs w:val="24"/>
              </w:rPr>
              <w:t>p</w:t>
            </w:r>
            <w:r w:rsidRPr="004414F9">
              <w:rPr>
                <w:b/>
                <w:bCs/>
                <w:szCs w:val="24"/>
              </w:rPr>
              <w:t>aragraph (b)—</w:t>
            </w:r>
            <w:r w:rsidRPr="0048207A">
              <w:rPr>
                <w:b/>
                <w:bCs/>
                <w:szCs w:val="24"/>
              </w:rPr>
              <w:t xml:space="preserve">Minimum Distance Separation Requirements </w:t>
            </w:r>
            <w:r>
              <w:rPr>
                <w:b/>
                <w:bCs/>
                <w:szCs w:val="24"/>
              </w:rPr>
              <w:t>i</w:t>
            </w:r>
            <w:r w:rsidRPr="0048207A">
              <w:rPr>
                <w:b/>
                <w:bCs/>
                <w:szCs w:val="24"/>
              </w:rPr>
              <w:t>n Kilometers</w:t>
            </w:r>
            <w:r w:rsidR="00120A08">
              <w:rPr>
                <w:b/>
                <w:bCs/>
                <w:szCs w:val="24"/>
              </w:rPr>
              <w:t xml:space="preserve"> (Canada)</w:t>
            </w:r>
          </w:p>
        </w:tc>
      </w:tr>
      <w:tr w14:paraId="4B5FD7D1" w14:textId="77777777" w:rsidTr="00086CAD">
        <w:tblPrEx>
          <w:tblW w:w="9355" w:type="dxa"/>
          <w:tblLook w:val="04A0"/>
        </w:tblPrEx>
        <w:trPr>
          <w:trHeight w:val="94"/>
        </w:trPr>
        <w:tc>
          <w:tcPr>
            <w:tcW w:w="1345" w:type="dxa"/>
          </w:tcPr>
          <w:p w:rsidR="003F2961" w:rsidP="003F2961" w14:paraId="19C10C14" w14:textId="77777777">
            <w:pPr>
              <w:spacing w:line="480" w:lineRule="auto"/>
              <w:rPr>
                <w:szCs w:val="24"/>
              </w:rPr>
            </w:pPr>
            <w:r w:rsidRPr="0048207A">
              <w:rPr>
                <w:color w:val="000000"/>
                <w:szCs w:val="24"/>
              </w:rPr>
              <w:t>Relation</w:t>
            </w:r>
          </w:p>
        </w:tc>
        <w:tc>
          <w:tcPr>
            <w:tcW w:w="1530" w:type="dxa"/>
          </w:tcPr>
          <w:p w:rsidR="003F2961" w:rsidP="003F2961" w14:paraId="1DF922E6" w14:textId="77777777">
            <w:pPr>
              <w:spacing w:line="480" w:lineRule="auto"/>
              <w:rPr>
                <w:szCs w:val="24"/>
              </w:rPr>
            </w:pPr>
            <w:r>
              <w:rPr>
                <w:color w:val="000000"/>
                <w:szCs w:val="24"/>
              </w:rPr>
              <w:t>Co-Channel</w:t>
            </w:r>
          </w:p>
        </w:tc>
        <w:tc>
          <w:tcPr>
            <w:tcW w:w="1350" w:type="dxa"/>
          </w:tcPr>
          <w:p w:rsidR="003F2961" w:rsidP="003F2961" w14:paraId="79BC9DE7" w14:textId="77777777">
            <w:pPr>
              <w:spacing w:line="480" w:lineRule="auto"/>
              <w:rPr>
                <w:szCs w:val="24"/>
              </w:rPr>
            </w:pPr>
            <w:r w:rsidRPr="0048207A">
              <w:rPr>
                <w:color w:val="000000"/>
                <w:szCs w:val="24"/>
              </w:rPr>
              <w:t>200 kHz</w:t>
            </w:r>
          </w:p>
        </w:tc>
        <w:tc>
          <w:tcPr>
            <w:tcW w:w="1350" w:type="dxa"/>
          </w:tcPr>
          <w:p w:rsidR="003F2961" w:rsidP="003F2961" w14:paraId="0D1A617B" w14:textId="33A17AA4">
            <w:pPr>
              <w:spacing w:line="480" w:lineRule="auto"/>
              <w:rPr>
                <w:szCs w:val="24"/>
              </w:rPr>
            </w:pPr>
            <w:r w:rsidRPr="0048207A">
              <w:rPr>
                <w:color w:val="000000"/>
                <w:szCs w:val="24"/>
              </w:rPr>
              <w:t xml:space="preserve">400 </w:t>
            </w:r>
            <w:r>
              <w:rPr>
                <w:color w:val="000000"/>
                <w:szCs w:val="24"/>
              </w:rPr>
              <w:t>k</w:t>
            </w:r>
            <w:r w:rsidRPr="0048207A">
              <w:rPr>
                <w:color w:val="000000"/>
                <w:szCs w:val="24"/>
              </w:rPr>
              <w:t>Hz</w:t>
            </w:r>
          </w:p>
        </w:tc>
        <w:tc>
          <w:tcPr>
            <w:tcW w:w="1350" w:type="dxa"/>
          </w:tcPr>
          <w:p w:rsidR="003F2961" w:rsidP="003F2961" w14:paraId="5402AAA4" w14:textId="06AE5A28">
            <w:pPr>
              <w:spacing w:line="480" w:lineRule="auto"/>
              <w:rPr>
                <w:szCs w:val="24"/>
              </w:rPr>
            </w:pPr>
            <w:r>
              <w:rPr>
                <w:szCs w:val="24"/>
              </w:rPr>
              <w:t>600 kHz</w:t>
            </w:r>
          </w:p>
        </w:tc>
        <w:tc>
          <w:tcPr>
            <w:tcW w:w="2430" w:type="dxa"/>
          </w:tcPr>
          <w:p w:rsidR="003F2961" w:rsidP="003F2961" w14:paraId="05593C02" w14:textId="37D915DB">
            <w:pPr>
              <w:spacing w:line="480" w:lineRule="auto"/>
              <w:rPr>
                <w:szCs w:val="24"/>
              </w:rPr>
            </w:pPr>
            <w:r w:rsidRPr="0048207A">
              <w:rPr>
                <w:color w:val="000000"/>
                <w:szCs w:val="24"/>
              </w:rPr>
              <w:t>10.6/10.8 MHz</w:t>
            </w:r>
            <w:r w:rsidR="00086CAD">
              <w:rPr>
                <w:color w:val="000000"/>
                <w:szCs w:val="24"/>
              </w:rPr>
              <w:t xml:space="preserve"> (I.F.)</w:t>
            </w:r>
          </w:p>
        </w:tc>
      </w:tr>
      <w:tr w14:paraId="6B5367AE" w14:textId="77777777" w:rsidTr="00086CAD">
        <w:tblPrEx>
          <w:tblW w:w="9355" w:type="dxa"/>
          <w:tblLook w:val="04A0"/>
        </w:tblPrEx>
        <w:trPr>
          <w:trHeight w:val="94"/>
        </w:trPr>
        <w:tc>
          <w:tcPr>
            <w:tcW w:w="1345" w:type="dxa"/>
            <w:vAlign w:val="bottom"/>
          </w:tcPr>
          <w:p w:rsidR="003F2961" w:rsidRPr="0048207A" w:rsidP="003F2961" w14:paraId="489F6986" w14:textId="12EA6904">
            <w:pPr>
              <w:spacing w:line="480" w:lineRule="auto"/>
              <w:rPr>
                <w:color w:val="000000"/>
                <w:szCs w:val="24"/>
              </w:rPr>
            </w:pPr>
            <w:r w:rsidRPr="0048207A">
              <w:rPr>
                <w:color w:val="000000"/>
                <w:szCs w:val="24"/>
              </w:rPr>
              <w:t>A1</w:t>
            </w:r>
            <w:r w:rsidR="00337904">
              <w:rPr>
                <w:color w:val="000000"/>
                <w:szCs w:val="24"/>
              </w:rPr>
              <w:t xml:space="preserve"> to </w:t>
            </w:r>
            <w:r w:rsidRPr="0048207A">
              <w:rPr>
                <w:color w:val="000000"/>
                <w:szCs w:val="24"/>
              </w:rPr>
              <w:t>A1</w:t>
            </w:r>
          </w:p>
        </w:tc>
        <w:tc>
          <w:tcPr>
            <w:tcW w:w="1530" w:type="dxa"/>
            <w:vAlign w:val="bottom"/>
          </w:tcPr>
          <w:p w:rsidR="003F2961" w:rsidP="003F2961" w14:paraId="26A00E47" w14:textId="28BA3BF0">
            <w:pPr>
              <w:spacing w:line="480" w:lineRule="auto"/>
              <w:rPr>
                <w:color w:val="000000"/>
                <w:szCs w:val="24"/>
              </w:rPr>
            </w:pPr>
            <w:r w:rsidRPr="0048207A">
              <w:rPr>
                <w:color w:val="000000"/>
                <w:szCs w:val="24"/>
              </w:rPr>
              <w:t>78</w:t>
            </w:r>
          </w:p>
        </w:tc>
        <w:tc>
          <w:tcPr>
            <w:tcW w:w="1350" w:type="dxa"/>
            <w:vAlign w:val="bottom"/>
          </w:tcPr>
          <w:p w:rsidR="003F2961" w:rsidRPr="0048207A" w:rsidP="003F2961" w14:paraId="6550700A" w14:textId="0B9A3757">
            <w:pPr>
              <w:spacing w:line="480" w:lineRule="auto"/>
              <w:rPr>
                <w:color w:val="000000"/>
                <w:szCs w:val="24"/>
              </w:rPr>
            </w:pPr>
            <w:r w:rsidRPr="0048207A">
              <w:rPr>
                <w:color w:val="000000"/>
                <w:szCs w:val="24"/>
              </w:rPr>
              <w:t>45</w:t>
            </w:r>
          </w:p>
        </w:tc>
        <w:tc>
          <w:tcPr>
            <w:tcW w:w="1350" w:type="dxa"/>
            <w:vAlign w:val="bottom"/>
          </w:tcPr>
          <w:p w:rsidR="003F2961" w:rsidRPr="0048207A" w:rsidP="003F2961" w14:paraId="59E71CF4" w14:textId="3649AD38">
            <w:pPr>
              <w:spacing w:line="480" w:lineRule="auto"/>
              <w:rPr>
                <w:color w:val="000000"/>
                <w:szCs w:val="24"/>
              </w:rPr>
            </w:pPr>
            <w:r w:rsidRPr="0048207A">
              <w:rPr>
                <w:color w:val="000000"/>
                <w:szCs w:val="24"/>
              </w:rPr>
              <w:t>24</w:t>
            </w:r>
          </w:p>
        </w:tc>
        <w:tc>
          <w:tcPr>
            <w:tcW w:w="1350" w:type="dxa"/>
            <w:vAlign w:val="bottom"/>
          </w:tcPr>
          <w:p w:rsidR="003F2961" w:rsidP="003F2961" w14:paraId="124E9702" w14:textId="4387020E">
            <w:pPr>
              <w:spacing w:line="480" w:lineRule="auto"/>
              <w:rPr>
                <w:szCs w:val="24"/>
              </w:rPr>
            </w:pPr>
            <w:r w:rsidRPr="0048207A">
              <w:rPr>
                <w:color w:val="000000"/>
                <w:szCs w:val="24"/>
              </w:rPr>
              <w:t>20</w:t>
            </w:r>
          </w:p>
        </w:tc>
        <w:tc>
          <w:tcPr>
            <w:tcW w:w="2430" w:type="dxa"/>
            <w:vAlign w:val="bottom"/>
          </w:tcPr>
          <w:p w:rsidR="003F2961" w:rsidRPr="0048207A" w:rsidP="003F2961" w14:paraId="6C03DD73" w14:textId="2D669C38">
            <w:pPr>
              <w:spacing w:line="480" w:lineRule="auto"/>
              <w:rPr>
                <w:color w:val="000000"/>
                <w:szCs w:val="24"/>
              </w:rPr>
            </w:pPr>
            <w:r w:rsidRPr="0048207A">
              <w:rPr>
                <w:color w:val="000000"/>
                <w:szCs w:val="24"/>
              </w:rPr>
              <w:t>4</w:t>
            </w:r>
          </w:p>
        </w:tc>
      </w:tr>
      <w:tr w14:paraId="4C903EDB" w14:textId="77777777" w:rsidTr="00086CAD">
        <w:tblPrEx>
          <w:tblW w:w="9355" w:type="dxa"/>
          <w:tblLook w:val="04A0"/>
        </w:tblPrEx>
        <w:trPr>
          <w:trHeight w:val="94"/>
        </w:trPr>
        <w:tc>
          <w:tcPr>
            <w:tcW w:w="1345" w:type="dxa"/>
            <w:vAlign w:val="bottom"/>
          </w:tcPr>
          <w:p w:rsidR="00913603" w:rsidRPr="0048207A" w:rsidP="00913603" w14:paraId="3005E52A" w14:textId="5E93A78E">
            <w:pPr>
              <w:spacing w:line="480" w:lineRule="auto"/>
              <w:rPr>
                <w:color w:val="000000"/>
                <w:szCs w:val="24"/>
              </w:rPr>
            </w:pPr>
            <w:r w:rsidRPr="0048207A">
              <w:rPr>
                <w:color w:val="000000"/>
                <w:szCs w:val="24"/>
              </w:rPr>
              <w:t>A1</w:t>
            </w:r>
            <w:r w:rsidR="00337904">
              <w:rPr>
                <w:color w:val="000000"/>
                <w:szCs w:val="24"/>
              </w:rPr>
              <w:t xml:space="preserve"> to </w:t>
            </w:r>
            <w:r w:rsidRPr="0048207A">
              <w:rPr>
                <w:color w:val="000000"/>
                <w:szCs w:val="24"/>
              </w:rPr>
              <w:t>A</w:t>
            </w:r>
          </w:p>
        </w:tc>
        <w:tc>
          <w:tcPr>
            <w:tcW w:w="1530" w:type="dxa"/>
            <w:vAlign w:val="bottom"/>
          </w:tcPr>
          <w:p w:rsidR="00913603" w:rsidRPr="0048207A" w:rsidP="00913603" w14:paraId="6D353906" w14:textId="1466160B">
            <w:pPr>
              <w:spacing w:line="480" w:lineRule="auto"/>
              <w:rPr>
                <w:color w:val="000000"/>
                <w:szCs w:val="24"/>
              </w:rPr>
            </w:pPr>
            <w:r w:rsidRPr="0048207A">
              <w:rPr>
                <w:color w:val="000000"/>
                <w:szCs w:val="24"/>
              </w:rPr>
              <w:t>131</w:t>
            </w:r>
          </w:p>
        </w:tc>
        <w:tc>
          <w:tcPr>
            <w:tcW w:w="1350" w:type="dxa"/>
            <w:vAlign w:val="bottom"/>
          </w:tcPr>
          <w:p w:rsidR="00913603" w:rsidRPr="0048207A" w:rsidP="00913603" w14:paraId="2DD980EF" w14:textId="2B6852E7">
            <w:pPr>
              <w:spacing w:line="480" w:lineRule="auto"/>
              <w:rPr>
                <w:color w:val="000000"/>
                <w:szCs w:val="24"/>
              </w:rPr>
            </w:pPr>
            <w:r w:rsidRPr="0048207A">
              <w:rPr>
                <w:color w:val="000000"/>
                <w:szCs w:val="24"/>
              </w:rPr>
              <w:t>78</w:t>
            </w:r>
          </w:p>
        </w:tc>
        <w:tc>
          <w:tcPr>
            <w:tcW w:w="1350" w:type="dxa"/>
            <w:vAlign w:val="bottom"/>
          </w:tcPr>
          <w:p w:rsidR="00913603" w:rsidRPr="0048207A" w:rsidP="00913603" w14:paraId="0C341E14" w14:textId="5C413684">
            <w:pPr>
              <w:spacing w:line="480" w:lineRule="auto"/>
              <w:rPr>
                <w:color w:val="000000"/>
                <w:szCs w:val="24"/>
              </w:rPr>
            </w:pPr>
            <w:r w:rsidRPr="0048207A">
              <w:rPr>
                <w:color w:val="000000"/>
                <w:szCs w:val="24"/>
              </w:rPr>
              <w:t>44</w:t>
            </w:r>
          </w:p>
        </w:tc>
        <w:tc>
          <w:tcPr>
            <w:tcW w:w="1350" w:type="dxa"/>
            <w:vAlign w:val="bottom"/>
          </w:tcPr>
          <w:p w:rsidR="00913603" w:rsidRPr="0048207A" w:rsidP="00913603" w14:paraId="4672A328" w14:textId="4CD5548C">
            <w:pPr>
              <w:spacing w:line="480" w:lineRule="auto"/>
              <w:rPr>
                <w:color w:val="000000"/>
                <w:szCs w:val="24"/>
              </w:rPr>
            </w:pPr>
            <w:r w:rsidRPr="0048207A">
              <w:rPr>
                <w:color w:val="000000"/>
                <w:szCs w:val="24"/>
              </w:rPr>
              <w:t>40</w:t>
            </w:r>
          </w:p>
        </w:tc>
        <w:tc>
          <w:tcPr>
            <w:tcW w:w="2430" w:type="dxa"/>
            <w:vAlign w:val="bottom"/>
          </w:tcPr>
          <w:p w:rsidR="00913603" w:rsidRPr="0048207A" w:rsidP="00913603" w14:paraId="36EA10B8" w14:textId="2F195C99">
            <w:pPr>
              <w:spacing w:line="480" w:lineRule="auto"/>
              <w:rPr>
                <w:color w:val="000000"/>
                <w:szCs w:val="24"/>
              </w:rPr>
            </w:pPr>
            <w:r w:rsidRPr="0048207A">
              <w:rPr>
                <w:color w:val="000000"/>
                <w:szCs w:val="24"/>
              </w:rPr>
              <w:t>7</w:t>
            </w:r>
          </w:p>
        </w:tc>
      </w:tr>
      <w:tr w14:paraId="4267E970" w14:textId="77777777" w:rsidTr="00086CAD">
        <w:tblPrEx>
          <w:tblW w:w="9355" w:type="dxa"/>
          <w:tblLook w:val="04A0"/>
        </w:tblPrEx>
        <w:trPr>
          <w:trHeight w:val="94"/>
        </w:trPr>
        <w:tc>
          <w:tcPr>
            <w:tcW w:w="1345" w:type="dxa"/>
            <w:vAlign w:val="bottom"/>
          </w:tcPr>
          <w:p w:rsidR="00913603" w:rsidRPr="0048207A" w:rsidP="00913603" w14:paraId="6834E570" w14:textId="46030FFF">
            <w:pPr>
              <w:spacing w:line="480" w:lineRule="auto"/>
              <w:rPr>
                <w:color w:val="000000"/>
                <w:szCs w:val="24"/>
              </w:rPr>
            </w:pPr>
            <w:r w:rsidRPr="0048207A">
              <w:rPr>
                <w:color w:val="000000"/>
                <w:szCs w:val="24"/>
              </w:rPr>
              <w:t>A1</w:t>
            </w:r>
            <w:r w:rsidR="00337904">
              <w:rPr>
                <w:color w:val="000000"/>
                <w:szCs w:val="24"/>
              </w:rPr>
              <w:t xml:space="preserve"> to </w:t>
            </w:r>
            <w:r w:rsidRPr="0048207A">
              <w:rPr>
                <w:color w:val="000000"/>
                <w:szCs w:val="24"/>
              </w:rPr>
              <w:t>B1</w:t>
            </w:r>
          </w:p>
        </w:tc>
        <w:tc>
          <w:tcPr>
            <w:tcW w:w="1530" w:type="dxa"/>
            <w:vAlign w:val="bottom"/>
          </w:tcPr>
          <w:p w:rsidR="00913603" w:rsidRPr="0048207A" w:rsidP="00913603" w14:paraId="5052E595" w14:textId="1A11DABC">
            <w:pPr>
              <w:spacing w:line="480" w:lineRule="auto"/>
              <w:rPr>
                <w:color w:val="000000"/>
                <w:szCs w:val="24"/>
              </w:rPr>
            </w:pPr>
            <w:r w:rsidRPr="0048207A">
              <w:rPr>
                <w:color w:val="000000"/>
                <w:szCs w:val="24"/>
              </w:rPr>
              <w:t>164</w:t>
            </w:r>
          </w:p>
        </w:tc>
        <w:tc>
          <w:tcPr>
            <w:tcW w:w="1350" w:type="dxa"/>
            <w:vAlign w:val="bottom"/>
          </w:tcPr>
          <w:p w:rsidR="00913603" w:rsidRPr="0048207A" w:rsidP="00913603" w14:paraId="173E748D" w14:textId="3A0119B7">
            <w:pPr>
              <w:spacing w:line="480" w:lineRule="auto"/>
              <w:rPr>
                <w:color w:val="000000"/>
                <w:szCs w:val="24"/>
              </w:rPr>
            </w:pPr>
            <w:r w:rsidRPr="0048207A">
              <w:rPr>
                <w:color w:val="000000"/>
                <w:szCs w:val="24"/>
              </w:rPr>
              <w:t>98</w:t>
            </w:r>
          </w:p>
        </w:tc>
        <w:tc>
          <w:tcPr>
            <w:tcW w:w="1350" w:type="dxa"/>
            <w:vAlign w:val="bottom"/>
          </w:tcPr>
          <w:p w:rsidR="00913603" w:rsidRPr="0048207A" w:rsidP="00913603" w14:paraId="5209FC85" w14:textId="57445CE4">
            <w:pPr>
              <w:spacing w:line="480" w:lineRule="auto"/>
              <w:rPr>
                <w:color w:val="000000"/>
                <w:szCs w:val="24"/>
              </w:rPr>
            </w:pPr>
            <w:r w:rsidRPr="0048207A">
              <w:rPr>
                <w:color w:val="000000"/>
                <w:szCs w:val="24"/>
              </w:rPr>
              <w:t>57</w:t>
            </w:r>
          </w:p>
        </w:tc>
        <w:tc>
          <w:tcPr>
            <w:tcW w:w="1350" w:type="dxa"/>
            <w:vAlign w:val="bottom"/>
          </w:tcPr>
          <w:p w:rsidR="00913603" w:rsidRPr="0048207A" w:rsidP="00913603" w14:paraId="6429561A" w14:textId="74AC87BE">
            <w:pPr>
              <w:spacing w:line="480" w:lineRule="auto"/>
              <w:rPr>
                <w:color w:val="000000"/>
                <w:szCs w:val="24"/>
              </w:rPr>
            </w:pPr>
            <w:r w:rsidRPr="0048207A">
              <w:rPr>
                <w:color w:val="000000"/>
                <w:szCs w:val="24"/>
              </w:rPr>
              <w:t>53</w:t>
            </w:r>
          </w:p>
        </w:tc>
        <w:tc>
          <w:tcPr>
            <w:tcW w:w="2430" w:type="dxa"/>
            <w:vAlign w:val="bottom"/>
          </w:tcPr>
          <w:p w:rsidR="00913603" w:rsidRPr="0048207A" w:rsidP="00913603" w14:paraId="20D910D8" w14:textId="19E079F7">
            <w:pPr>
              <w:spacing w:line="480" w:lineRule="auto"/>
              <w:rPr>
                <w:color w:val="000000"/>
                <w:szCs w:val="24"/>
              </w:rPr>
            </w:pPr>
            <w:r w:rsidRPr="0048207A">
              <w:rPr>
                <w:color w:val="000000"/>
                <w:szCs w:val="24"/>
              </w:rPr>
              <w:t>9</w:t>
            </w:r>
          </w:p>
        </w:tc>
      </w:tr>
      <w:tr w14:paraId="237CA479" w14:textId="77777777" w:rsidTr="00086CAD">
        <w:tblPrEx>
          <w:tblW w:w="9355" w:type="dxa"/>
          <w:tblLook w:val="04A0"/>
        </w:tblPrEx>
        <w:trPr>
          <w:trHeight w:val="94"/>
        </w:trPr>
        <w:tc>
          <w:tcPr>
            <w:tcW w:w="1345" w:type="dxa"/>
            <w:vAlign w:val="bottom"/>
          </w:tcPr>
          <w:p w:rsidR="00913603" w:rsidRPr="0048207A" w:rsidP="00913603" w14:paraId="23E812CF" w14:textId="68490452">
            <w:pPr>
              <w:spacing w:line="480" w:lineRule="auto"/>
              <w:rPr>
                <w:color w:val="000000"/>
                <w:szCs w:val="24"/>
              </w:rPr>
            </w:pPr>
            <w:r w:rsidRPr="0048207A">
              <w:rPr>
                <w:color w:val="000000"/>
                <w:szCs w:val="24"/>
              </w:rPr>
              <w:t>A1</w:t>
            </w:r>
            <w:r w:rsidR="00337904">
              <w:rPr>
                <w:color w:val="000000"/>
                <w:szCs w:val="24"/>
              </w:rPr>
              <w:t xml:space="preserve"> to </w:t>
            </w:r>
            <w:r w:rsidRPr="0048207A">
              <w:rPr>
                <w:color w:val="000000"/>
                <w:szCs w:val="24"/>
              </w:rPr>
              <w:t>B</w:t>
            </w:r>
          </w:p>
        </w:tc>
        <w:tc>
          <w:tcPr>
            <w:tcW w:w="1530" w:type="dxa"/>
            <w:vAlign w:val="bottom"/>
          </w:tcPr>
          <w:p w:rsidR="00913603" w:rsidRPr="0048207A" w:rsidP="00913603" w14:paraId="19265329" w14:textId="2E584523">
            <w:pPr>
              <w:spacing w:line="480" w:lineRule="auto"/>
              <w:rPr>
                <w:color w:val="000000"/>
                <w:szCs w:val="24"/>
              </w:rPr>
            </w:pPr>
            <w:r w:rsidRPr="0048207A">
              <w:rPr>
                <w:color w:val="000000"/>
                <w:szCs w:val="24"/>
              </w:rPr>
              <w:t>190</w:t>
            </w:r>
          </w:p>
        </w:tc>
        <w:tc>
          <w:tcPr>
            <w:tcW w:w="1350" w:type="dxa"/>
            <w:vAlign w:val="bottom"/>
          </w:tcPr>
          <w:p w:rsidR="00913603" w:rsidRPr="0048207A" w:rsidP="00913603" w14:paraId="6E511C11" w14:textId="0B6108BD">
            <w:pPr>
              <w:spacing w:line="480" w:lineRule="auto"/>
              <w:rPr>
                <w:color w:val="000000"/>
                <w:szCs w:val="24"/>
              </w:rPr>
            </w:pPr>
            <w:r w:rsidRPr="0048207A">
              <w:rPr>
                <w:color w:val="000000"/>
                <w:szCs w:val="24"/>
              </w:rPr>
              <w:t>117</w:t>
            </w:r>
          </w:p>
        </w:tc>
        <w:tc>
          <w:tcPr>
            <w:tcW w:w="1350" w:type="dxa"/>
            <w:vAlign w:val="bottom"/>
          </w:tcPr>
          <w:p w:rsidR="00913603" w:rsidRPr="0048207A" w:rsidP="00913603" w14:paraId="38AE9FA7" w14:textId="2498F6E8">
            <w:pPr>
              <w:spacing w:line="480" w:lineRule="auto"/>
              <w:rPr>
                <w:color w:val="000000"/>
                <w:szCs w:val="24"/>
              </w:rPr>
            </w:pPr>
            <w:r w:rsidRPr="0048207A">
              <w:rPr>
                <w:color w:val="000000"/>
                <w:szCs w:val="24"/>
              </w:rPr>
              <w:t>71</w:t>
            </w:r>
          </w:p>
        </w:tc>
        <w:tc>
          <w:tcPr>
            <w:tcW w:w="1350" w:type="dxa"/>
            <w:vAlign w:val="bottom"/>
          </w:tcPr>
          <w:p w:rsidR="00913603" w:rsidRPr="0048207A" w:rsidP="00913603" w14:paraId="1E2F9DAA" w14:textId="1B44D742">
            <w:pPr>
              <w:spacing w:line="480" w:lineRule="auto"/>
              <w:rPr>
                <w:color w:val="000000"/>
                <w:szCs w:val="24"/>
              </w:rPr>
            </w:pPr>
            <w:r w:rsidRPr="0048207A">
              <w:rPr>
                <w:color w:val="000000"/>
                <w:szCs w:val="24"/>
              </w:rPr>
              <w:t>67</w:t>
            </w:r>
          </w:p>
        </w:tc>
        <w:tc>
          <w:tcPr>
            <w:tcW w:w="2430" w:type="dxa"/>
            <w:vAlign w:val="bottom"/>
          </w:tcPr>
          <w:p w:rsidR="00913603" w:rsidRPr="0048207A" w:rsidP="00913603" w14:paraId="23C04DFD" w14:textId="3B02C290">
            <w:pPr>
              <w:spacing w:line="480" w:lineRule="auto"/>
              <w:rPr>
                <w:color w:val="000000"/>
                <w:szCs w:val="24"/>
              </w:rPr>
            </w:pPr>
            <w:r w:rsidRPr="0048207A">
              <w:rPr>
                <w:color w:val="000000"/>
                <w:szCs w:val="24"/>
              </w:rPr>
              <w:t>12</w:t>
            </w:r>
          </w:p>
        </w:tc>
      </w:tr>
      <w:tr w14:paraId="1D9393D3" w14:textId="77777777" w:rsidTr="00086CAD">
        <w:tblPrEx>
          <w:tblW w:w="9355" w:type="dxa"/>
          <w:tblLook w:val="04A0"/>
        </w:tblPrEx>
        <w:trPr>
          <w:trHeight w:val="94"/>
        </w:trPr>
        <w:tc>
          <w:tcPr>
            <w:tcW w:w="1345" w:type="dxa"/>
            <w:vAlign w:val="bottom"/>
          </w:tcPr>
          <w:p w:rsidR="00913603" w:rsidRPr="0048207A" w:rsidP="00913603" w14:paraId="44D2EFE0" w14:textId="55F34E57">
            <w:pPr>
              <w:spacing w:line="480" w:lineRule="auto"/>
              <w:rPr>
                <w:color w:val="000000"/>
                <w:szCs w:val="24"/>
              </w:rPr>
            </w:pPr>
            <w:r w:rsidRPr="0048207A">
              <w:rPr>
                <w:color w:val="000000"/>
                <w:szCs w:val="24"/>
              </w:rPr>
              <w:t>A1</w:t>
            </w:r>
            <w:r w:rsidR="00337904">
              <w:rPr>
                <w:color w:val="000000"/>
                <w:szCs w:val="24"/>
              </w:rPr>
              <w:t xml:space="preserve"> to </w:t>
            </w:r>
            <w:r w:rsidRPr="0048207A">
              <w:rPr>
                <w:color w:val="000000"/>
                <w:szCs w:val="24"/>
              </w:rPr>
              <w:t>C1</w:t>
            </w:r>
          </w:p>
        </w:tc>
        <w:tc>
          <w:tcPr>
            <w:tcW w:w="1530" w:type="dxa"/>
            <w:vAlign w:val="bottom"/>
          </w:tcPr>
          <w:p w:rsidR="00913603" w:rsidRPr="0048207A" w:rsidP="00913603" w14:paraId="6B4934EC" w14:textId="2E613C72">
            <w:pPr>
              <w:spacing w:line="480" w:lineRule="auto"/>
              <w:rPr>
                <w:color w:val="000000"/>
                <w:szCs w:val="24"/>
              </w:rPr>
            </w:pPr>
            <w:r w:rsidRPr="0048207A">
              <w:rPr>
                <w:color w:val="000000"/>
                <w:szCs w:val="24"/>
              </w:rPr>
              <w:t>223</w:t>
            </w:r>
          </w:p>
        </w:tc>
        <w:tc>
          <w:tcPr>
            <w:tcW w:w="1350" w:type="dxa"/>
            <w:vAlign w:val="bottom"/>
          </w:tcPr>
          <w:p w:rsidR="00913603" w:rsidRPr="0048207A" w:rsidP="00913603" w14:paraId="728025B0" w14:textId="6358B375">
            <w:pPr>
              <w:spacing w:line="480" w:lineRule="auto"/>
              <w:rPr>
                <w:color w:val="000000"/>
                <w:szCs w:val="24"/>
              </w:rPr>
            </w:pPr>
            <w:r w:rsidRPr="0048207A">
              <w:rPr>
                <w:color w:val="000000"/>
                <w:szCs w:val="24"/>
              </w:rPr>
              <w:t>148</w:t>
            </w:r>
          </w:p>
        </w:tc>
        <w:tc>
          <w:tcPr>
            <w:tcW w:w="1350" w:type="dxa"/>
            <w:vAlign w:val="bottom"/>
          </w:tcPr>
          <w:p w:rsidR="00913603" w:rsidRPr="0048207A" w:rsidP="00913603" w14:paraId="3932B6C4" w14:textId="5CE98BBC">
            <w:pPr>
              <w:spacing w:line="480" w:lineRule="auto"/>
              <w:rPr>
                <w:color w:val="000000"/>
                <w:szCs w:val="24"/>
              </w:rPr>
            </w:pPr>
            <w:r w:rsidRPr="0048207A">
              <w:rPr>
                <w:color w:val="000000"/>
                <w:szCs w:val="24"/>
              </w:rPr>
              <w:t>92</w:t>
            </w:r>
          </w:p>
        </w:tc>
        <w:tc>
          <w:tcPr>
            <w:tcW w:w="1350" w:type="dxa"/>
            <w:vAlign w:val="bottom"/>
          </w:tcPr>
          <w:p w:rsidR="00913603" w:rsidRPr="0048207A" w:rsidP="00913603" w14:paraId="699A5158" w14:textId="06A28B49">
            <w:pPr>
              <w:spacing w:line="480" w:lineRule="auto"/>
              <w:rPr>
                <w:color w:val="000000"/>
                <w:szCs w:val="24"/>
              </w:rPr>
            </w:pPr>
            <w:r w:rsidRPr="0048207A">
              <w:rPr>
                <w:color w:val="000000"/>
                <w:szCs w:val="24"/>
              </w:rPr>
              <w:t>88</w:t>
            </w:r>
          </w:p>
        </w:tc>
        <w:tc>
          <w:tcPr>
            <w:tcW w:w="2430" w:type="dxa"/>
            <w:vAlign w:val="bottom"/>
          </w:tcPr>
          <w:p w:rsidR="00913603" w:rsidRPr="0048207A" w:rsidP="00913603" w14:paraId="602F9C7F" w14:textId="24C616C9">
            <w:pPr>
              <w:spacing w:line="480" w:lineRule="auto"/>
              <w:rPr>
                <w:color w:val="000000"/>
                <w:szCs w:val="24"/>
              </w:rPr>
            </w:pPr>
            <w:r w:rsidRPr="0048207A">
              <w:rPr>
                <w:color w:val="000000"/>
                <w:szCs w:val="24"/>
              </w:rPr>
              <w:t>19</w:t>
            </w:r>
          </w:p>
        </w:tc>
      </w:tr>
      <w:tr w14:paraId="72521C19" w14:textId="77777777" w:rsidTr="00086CAD">
        <w:tblPrEx>
          <w:tblW w:w="9355" w:type="dxa"/>
          <w:tblLook w:val="04A0"/>
        </w:tblPrEx>
        <w:trPr>
          <w:trHeight w:val="94"/>
        </w:trPr>
        <w:tc>
          <w:tcPr>
            <w:tcW w:w="1345" w:type="dxa"/>
            <w:vAlign w:val="bottom"/>
          </w:tcPr>
          <w:p w:rsidR="00913603" w:rsidRPr="0048207A" w:rsidP="00913603" w14:paraId="4EC74D0F" w14:textId="28A1E78A">
            <w:pPr>
              <w:spacing w:line="480" w:lineRule="auto"/>
              <w:rPr>
                <w:color w:val="000000"/>
                <w:szCs w:val="24"/>
              </w:rPr>
            </w:pPr>
            <w:r w:rsidRPr="0048207A">
              <w:rPr>
                <w:color w:val="000000"/>
                <w:szCs w:val="24"/>
              </w:rPr>
              <w:t>A1</w:t>
            </w:r>
            <w:r w:rsidR="00337904">
              <w:rPr>
                <w:color w:val="000000"/>
                <w:szCs w:val="24"/>
              </w:rPr>
              <w:t xml:space="preserve"> to </w:t>
            </w:r>
            <w:r w:rsidRPr="0048207A">
              <w:rPr>
                <w:color w:val="000000"/>
                <w:szCs w:val="24"/>
              </w:rPr>
              <w:t>C</w:t>
            </w:r>
          </w:p>
        </w:tc>
        <w:tc>
          <w:tcPr>
            <w:tcW w:w="1530" w:type="dxa"/>
            <w:vAlign w:val="bottom"/>
          </w:tcPr>
          <w:p w:rsidR="00913603" w:rsidRPr="0048207A" w:rsidP="00913603" w14:paraId="4EE405ED" w14:textId="5DA7DDE9">
            <w:pPr>
              <w:spacing w:line="480" w:lineRule="auto"/>
              <w:rPr>
                <w:color w:val="000000"/>
                <w:szCs w:val="24"/>
              </w:rPr>
            </w:pPr>
            <w:r w:rsidRPr="0048207A">
              <w:rPr>
                <w:color w:val="000000"/>
                <w:szCs w:val="24"/>
              </w:rPr>
              <w:t>227</w:t>
            </w:r>
          </w:p>
        </w:tc>
        <w:tc>
          <w:tcPr>
            <w:tcW w:w="1350" w:type="dxa"/>
            <w:vAlign w:val="bottom"/>
          </w:tcPr>
          <w:p w:rsidR="00913603" w:rsidRPr="0048207A" w:rsidP="00913603" w14:paraId="1CC427E5" w14:textId="0BF91188">
            <w:pPr>
              <w:spacing w:line="480" w:lineRule="auto"/>
              <w:rPr>
                <w:color w:val="000000"/>
                <w:szCs w:val="24"/>
              </w:rPr>
            </w:pPr>
            <w:r w:rsidRPr="0048207A">
              <w:rPr>
                <w:color w:val="000000"/>
                <w:szCs w:val="24"/>
              </w:rPr>
              <w:t>162</w:t>
            </w:r>
          </w:p>
        </w:tc>
        <w:tc>
          <w:tcPr>
            <w:tcW w:w="1350" w:type="dxa"/>
            <w:vAlign w:val="bottom"/>
          </w:tcPr>
          <w:p w:rsidR="00913603" w:rsidRPr="0048207A" w:rsidP="00913603" w14:paraId="2C3B4B04" w14:textId="6D2258BC">
            <w:pPr>
              <w:spacing w:line="480" w:lineRule="auto"/>
              <w:rPr>
                <w:color w:val="000000"/>
                <w:szCs w:val="24"/>
              </w:rPr>
            </w:pPr>
            <w:r w:rsidRPr="0048207A">
              <w:rPr>
                <w:color w:val="000000"/>
                <w:szCs w:val="24"/>
              </w:rPr>
              <w:t>103</w:t>
            </w:r>
          </w:p>
        </w:tc>
        <w:tc>
          <w:tcPr>
            <w:tcW w:w="1350" w:type="dxa"/>
            <w:vAlign w:val="bottom"/>
          </w:tcPr>
          <w:p w:rsidR="00913603" w:rsidRPr="0048207A" w:rsidP="00913603" w14:paraId="79B9B596" w14:textId="59B30554">
            <w:pPr>
              <w:spacing w:line="480" w:lineRule="auto"/>
              <w:rPr>
                <w:color w:val="000000"/>
                <w:szCs w:val="24"/>
              </w:rPr>
            </w:pPr>
            <w:r w:rsidRPr="0048207A">
              <w:rPr>
                <w:color w:val="000000"/>
                <w:szCs w:val="24"/>
              </w:rPr>
              <w:t>99</w:t>
            </w:r>
          </w:p>
        </w:tc>
        <w:tc>
          <w:tcPr>
            <w:tcW w:w="2430" w:type="dxa"/>
            <w:vAlign w:val="bottom"/>
          </w:tcPr>
          <w:p w:rsidR="00913603" w:rsidRPr="0048207A" w:rsidP="00913603" w14:paraId="6478333A" w14:textId="43E04A0C">
            <w:pPr>
              <w:spacing w:line="480" w:lineRule="auto"/>
              <w:rPr>
                <w:color w:val="000000"/>
                <w:szCs w:val="24"/>
              </w:rPr>
            </w:pPr>
            <w:r w:rsidRPr="0048207A">
              <w:rPr>
                <w:color w:val="000000"/>
                <w:szCs w:val="24"/>
              </w:rPr>
              <w:t>26</w:t>
            </w:r>
          </w:p>
        </w:tc>
      </w:tr>
      <w:tr w14:paraId="38046342" w14:textId="77777777" w:rsidTr="00086CAD">
        <w:tblPrEx>
          <w:tblW w:w="9355" w:type="dxa"/>
          <w:tblLook w:val="04A0"/>
        </w:tblPrEx>
        <w:trPr>
          <w:trHeight w:val="94"/>
        </w:trPr>
        <w:tc>
          <w:tcPr>
            <w:tcW w:w="1345" w:type="dxa"/>
            <w:vAlign w:val="bottom"/>
          </w:tcPr>
          <w:p w:rsidR="00913603" w:rsidRPr="0048207A" w:rsidP="00913603" w14:paraId="18A6407C" w14:textId="73268A5B">
            <w:pPr>
              <w:spacing w:line="480" w:lineRule="auto"/>
              <w:rPr>
                <w:color w:val="000000"/>
                <w:szCs w:val="24"/>
              </w:rPr>
            </w:pPr>
            <w:r w:rsidRPr="0048207A">
              <w:rPr>
                <w:color w:val="000000"/>
                <w:szCs w:val="24"/>
              </w:rPr>
              <w:t>A</w:t>
            </w:r>
            <w:r w:rsidR="00337904">
              <w:rPr>
                <w:color w:val="000000"/>
                <w:szCs w:val="24"/>
              </w:rPr>
              <w:t xml:space="preserve"> to </w:t>
            </w:r>
            <w:r w:rsidRPr="0048207A">
              <w:rPr>
                <w:color w:val="000000"/>
                <w:szCs w:val="24"/>
              </w:rPr>
              <w:t>A</w:t>
            </w:r>
          </w:p>
        </w:tc>
        <w:tc>
          <w:tcPr>
            <w:tcW w:w="1530" w:type="dxa"/>
            <w:vAlign w:val="bottom"/>
          </w:tcPr>
          <w:p w:rsidR="00913603" w:rsidRPr="0048207A" w:rsidP="00913603" w14:paraId="3D048C32" w14:textId="32F507A4">
            <w:pPr>
              <w:spacing w:line="480" w:lineRule="auto"/>
              <w:rPr>
                <w:color w:val="000000"/>
                <w:szCs w:val="24"/>
              </w:rPr>
            </w:pPr>
            <w:r w:rsidRPr="0048207A">
              <w:rPr>
                <w:color w:val="000000"/>
                <w:szCs w:val="24"/>
              </w:rPr>
              <w:t>151</w:t>
            </w:r>
          </w:p>
        </w:tc>
        <w:tc>
          <w:tcPr>
            <w:tcW w:w="1350" w:type="dxa"/>
            <w:vAlign w:val="bottom"/>
          </w:tcPr>
          <w:p w:rsidR="00913603" w:rsidRPr="0048207A" w:rsidP="00913603" w14:paraId="72832803" w14:textId="7D32F1E5">
            <w:pPr>
              <w:spacing w:line="480" w:lineRule="auto"/>
              <w:rPr>
                <w:color w:val="000000"/>
                <w:szCs w:val="24"/>
              </w:rPr>
            </w:pPr>
            <w:r w:rsidRPr="0048207A">
              <w:rPr>
                <w:color w:val="000000"/>
                <w:szCs w:val="24"/>
              </w:rPr>
              <w:t>98</w:t>
            </w:r>
          </w:p>
        </w:tc>
        <w:tc>
          <w:tcPr>
            <w:tcW w:w="1350" w:type="dxa"/>
            <w:vAlign w:val="bottom"/>
          </w:tcPr>
          <w:p w:rsidR="00913603" w:rsidRPr="0048207A" w:rsidP="00913603" w14:paraId="2CA2F0BB" w14:textId="2676DDCC">
            <w:pPr>
              <w:spacing w:line="480" w:lineRule="auto"/>
              <w:rPr>
                <w:color w:val="000000"/>
                <w:szCs w:val="24"/>
              </w:rPr>
            </w:pPr>
            <w:r w:rsidRPr="0048207A">
              <w:rPr>
                <w:color w:val="000000"/>
                <w:szCs w:val="24"/>
              </w:rPr>
              <w:t>51</w:t>
            </w:r>
          </w:p>
        </w:tc>
        <w:tc>
          <w:tcPr>
            <w:tcW w:w="1350" w:type="dxa"/>
            <w:vAlign w:val="bottom"/>
          </w:tcPr>
          <w:p w:rsidR="00913603" w:rsidRPr="0048207A" w:rsidP="00913603" w14:paraId="01F9F04F" w14:textId="39279B79">
            <w:pPr>
              <w:spacing w:line="480" w:lineRule="auto"/>
              <w:rPr>
                <w:color w:val="000000"/>
                <w:szCs w:val="24"/>
              </w:rPr>
            </w:pPr>
            <w:r w:rsidRPr="0048207A">
              <w:rPr>
                <w:color w:val="000000"/>
                <w:szCs w:val="24"/>
              </w:rPr>
              <w:t>42</w:t>
            </w:r>
          </w:p>
        </w:tc>
        <w:tc>
          <w:tcPr>
            <w:tcW w:w="2430" w:type="dxa"/>
            <w:vAlign w:val="bottom"/>
          </w:tcPr>
          <w:p w:rsidR="00913603" w:rsidRPr="0048207A" w:rsidP="00913603" w14:paraId="6C84A6EA" w14:textId="3F844BEC">
            <w:pPr>
              <w:spacing w:line="480" w:lineRule="auto"/>
              <w:rPr>
                <w:color w:val="000000"/>
                <w:szCs w:val="24"/>
              </w:rPr>
            </w:pPr>
            <w:r w:rsidRPr="0048207A">
              <w:rPr>
                <w:color w:val="000000"/>
                <w:szCs w:val="24"/>
              </w:rPr>
              <w:t>10</w:t>
            </w:r>
          </w:p>
        </w:tc>
      </w:tr>
      <w:tr w14:paraId="75071720" w14:textId="77777777" w:rsidTr="00086CAD">
        <w:tblPrEx>
          <w:tblW w:w="9355" w:type="dxa"/>
          <w:tblLook w:val="04A0"/>
        </w:tblPrEx>
        <w:trPr>
          <w:trHeight w:val="94"/>
        </w:trPr>
        <w:tc>
          <w:tcPr>
            <w:tcW w:w="1345" w:type="dxa"/>
            <w:vAlign w:val="bottom"/>
          </w:tcPr>
          <w:p w:rsidR="00913603" w:rsidRPr="0048207A" w:rsidP="00913603" w14:paraId="348C8A60" w14:textId="0E55B78A">
            <w:pPr>
              <w:spacing w:line="480" w:lineRule="auto"/>
              <w:rPr>
                <w:color w:val="000000"/>
                <w:szCs w:val="24"/>
              </w:rPr>
            </w:pPr>
            <w:r w:rsidRPr="0048207A">
              <w:rPr>
                <w:color w:val="000000"/>
                <w:szCs w:val="24"/>
              </w:rPr>
              <w:t>A</w:t>
            </w:r>
            <w:r w:rsidR="00337904">
              <w:rPr>
                <w:color w:val="000000"/>
                <w:szCs w:val="24"/>
              </w:rPr>
              <w:t xml:space="preserve"> to </w:t>
            </w:r>
            <w:r w:rsidRPr="0048207A">
              <w:rPr>
                <w:color w:val="000000"/>
                <w:szCs w:val="24"/>
              </w:rPr>
              <w:t>B1</w:t>
            </w:r>
          </w:p>
        </w:tc>
        <w:tc>
          <w:tcPr>
            <w:tcW w:w="1530" w:type="dxa"/>
            <w:vAlign w:val="bottom"/>
          </w:tcPr>
          <w:p w:rsidR="00913603" w:rsidRPr="0048207A" w:rsidP="00913603" w14:paraId="0EA55A26" w14:textId="20401768">
            <w:pPr>
              <w:spacing w:line="480" w:lineRule="auto"/>
              <w:rPr>
                <w:color w:val="000000"/>
                <w:szCs w:val="24"/>
              </w:rPr>
            </w:pPr>
            <w:r w:rsidRPr="0048207A">
              <w:rPr>
                <w:color w:val="000000"/>
                <w:szCs w:val="24"/>
              </w:rPr>
              <w:t>184</w:t>
            </w:r>
          </w:p>
        </w:tc>
        <w:tc>
          <w:tcPr>
            <w:tcW w:w="1350" w:type="dxa"/>
            <w:vAlign w:val="bottom"/>
          </w:tcPr>
          <w:p w:rsidR="00913603" w:rsidRPr="0048207A" w:rsidP="00913603" w14:paraId="78800C0A" w14:textId="55CEC4A0">
            <w:pPr>
              <w:spacing w:line="480" w:lineRule="auto"/>
              <w:rPr>
                <w:color w:val="000000"/>
                <w:szCs w:val="24"/>
              </w:rPr>
            </w:pPr>
            <w:r w:rsidRPr="0048207A">
              <w:rPr>
                <w:color w:val="000000"/>
                <w:szCs w:val="24"/>
              </w:rPr>
              <w:t>119</w:t>
            </w:r>
          </w:p>
        </w:tc>
        <w:tc>
          <w:tcPr>
            <w:tcW w:w="1350" w:type="dxa"/>
            <w:vAlign w:val="bottom"/>
          </w:tcPr>
          <w:p w:rsidR="00913603" w:rsidRPr="0048207A" w:rsidP="00913603" w14:paraId="635ACA3A" w14:textId="785A11C7">
            <w:pPr>
              <w:spacing w:line="480" w:lineRule="auto"/>
              <w:rPr>
                <w:color w:val="000000"/>
                <w:szCs w:val="24"/>
              </w:rPr>
            </w:pPr>
            <w:r w:rsidRPr="0048207A">
              <w:rPr>
                <w:color w:val="000000"/>
                <w:szCs w:val="24"/>
              </w:rPr>
              <w:t>64</w:t>
            </w:r>
          </w:p>
        </w:tc>
        <w:tc>
          <w:tcPr>
            <w:tcW w:w="1350" w:type="dxa"/>
            <w:vAlign w:val="bottom"/>
          </w:tcPr>
          <w:p w:rsidR="00913603" w:rsidRPr="0048207A" w:rsidP="00913603" w14:paraId="2D0CF0CF" w14:textId="3268EF76">
            <w:pPr>
              <w:spacing w:line="480" w:lineRule="auto"/>
              <w:rPr>
                <w:color w:val="000000"/>
                <w:szCs w:val="24"/>
              </w:rPr>
            </w:pPr>
            <w:r w:rsidRPr="0048207A">
              <w:rPr>
                <w:color w:val="000000"/>
                <w:szCs w:val="24"/>
              </w:rPr>
              <w:t>55</w:t>
            </w:r>
          </w:p>
        </w:tc>
        <w:tc>
          <w:tcPr>
            <w:tcW w:w="2430" w:type="dxa"/>
            <w:vAlign w:val="bottom"/>
          </w:tcPr>
          <w:p w:rsidR="00913603" w:rsidRPr="0048207A" w:rsidP="00913603" w14:paraId="647EF197" w14:textId="7EB7588E">
            <w:pPr>
              <w:spacing w:line="480" w:lineRule="auto"/>
              <w:rPr>
                <w:color w:val="000000"/>
                <w:szCs w:val="24"/>
              </w:rPr>
            </w:pPr>
            <w:r w:rsidRPr="0048207A">
              <w:rPr>
                <w:color w:val="000000"/>
                <w:szCs w:val="24"/>
              </w:rPr>
              <w:t>12</w:t>
            </w:r>
          </w:p>
        </w:tc>
      </w:tr>
      <w:tr w14:paraId="54F307DC" w14:textId="77777777" w:rsidTr="00086CAD">
        <w:tblPrEx>
          <w:tblW w:w="9355" w:type="dxa"/>
          <w:tblLook w:val="04A0"/>
        </w:tblPrEx>
        <w:trPr>
          <w:trHeight w:val="94"/>
        </w:trPr>
        <w:tc>
          <w:tcPr>
            <w:tcW w:w="1345" w:type="dxa"/>
            <w:vAlign w:val="bottom"/>
          </w:tcPr>
          <w:p w:rsidR="00913603" w:rsidRPr="0048207A" w:rsidP="00913603" w14:paraId="03C5BF89" w14:textId="7C7C25DC">
            <w:pPr>
              <w:spacing w:line="480" w:lineRule="auto"/>
              <w:rPr>
                <w:color w:val="000000"/>
                <w:szCs w:val="24"/>
              </w:rPr>
            </w:pPr>
            <w:r w:rsidRPr="0048207A">
              <w:rPr>
                <w:color w:val="000000"/>
                <w:szCs w:val="24"/>
              </w:rPr>
              <w:t>A</w:t>
            </w:r>
            <w:r w:rsidR="00337904">
              <w:rPr>
                <w:color w:val="000000"/>
                <w:szCs w:val="24"/>
              </w:rPr>
              <w:t xml:space="preserve"> to </w:t>
            </w:r>
            <w:r w:rsidRPr="0048207A">
              <w:rPr>
                <w:color w:val="000000"/>
                <w:szCs w:val="24"/>
              </w:rPr>
              <w:t>B</w:t>
            </w:r>
          </w:p>
        </w:tc>
        <w:tc>
          <w:tcPr>
            <w:tcW w:w="1530" w:type="dxa"/>
            <w:vAlign w:val="bottom"/>
          </w:tcPr>
          <w:p w:rsidR="00913603" w:rsidRPr="0048207A" w:rsidP="00913603" w14:paraId="54519E9E" w14:textId="0FFDCF95">
            <w:pPr>
              <w:spacing w:line="480" w:lineRule="auto"/>
              <w:rPr>
                <w:color w:val="000000"/>
                <w:szCs w:val="24"/>
              </w:rPr>
            </w:pPr>
            <w:r w:rsidRPr="0048207A">
              <w:rPr>
                <w:color w:val="000000"/>
                <w:szCs w:val="24"/>
              </w:rPr>
              <w:t>210</w:t>
            </w:r>
          </w:p>
        </w:tc>
        <w:tc>
          <w:tcPr>
            <w:tcW w:w="1350" w:type="dxa"/>
            <w:vAlign w:val="bottom"/>
          </w:tcPr>
          <w:p w:rsidR="00913603" w:rsidRPr="0048207A" w:rsidP="00913603" w14:paraId="5A3F07E9" w14:textId="1711459F">
            <w:pPr>
              <w:spacing w:line="480" w:lineRule="auto"/>
              <w:rPr>
                <w:color w:val="000000"/>
                <w:szCs w:val="24"/>
              </w:rPr>
            </w:pPr>
            <w:r w:rsidRPr="0048207A">
              <w:rPr>
                <w:color w:val="000000"/>
                <w:szCs w:val="24"/>
              </w:rPr>
              <w:t>137</w:t>
            </w:r>
          </w:p>
        </w:tc>
        <w:tc>
          <w:tcPr>
            <w:tcW w:w="1350" w:type="dxa"/>
            <w:vAlign w:val="bottom"/>
          </w:tcPr>
          <w:p w:rsidR="00913603" w:rsidRPr="0048207A" w:rsidP="00913603" w14:paraId="3F1F60CB" w14:textId="0CA8AAF9">
            <w:pPr>
              <w:spacing w:line="480" w:lineRule="auto"/>
              <w:rPr>
                <w:color w:val="000000"/>
                <w:szCs w:val="24"/>
              </w:rPr>
            </w:pPr>
            <w:r w:rsidRPr="0048207A">
              <w:rPr>
                <w:color w:val="000000"/>
                <w:szCs w:val="24"/>
              </w:rPr>
              <w:t>78</w:t>
            </w:r>
          </w:p>
        </w:tc>
        <w:tc>
          <w:tcPr>
            <w:tcW w:w="1350" w:type="dxa"/>
            <w:vAlign w:val="bottom"/>
          </w:tcPr>
          <w:p w:rsidR="00913603" w:rsidRPr="0048207A" w:rsidP="00913603" w14:paraId="31D11BD8" w14:textId="3DB3CD80">
            <w:pPr>
              <w:spacing w:line="480" w:lineRule="auto"/>
              <w:rPr>
                <w:color w:val="000000"/>
                <w:szCs w:val="24"/>
              </w:rPr>
            </w:pPr>
            <w:r w:rsidRPr="0048207A">
              <w:rPr>
                <w:color w:val="000000"/>
                <w:szCs w:val="24"/>
              </w:rPr>
              <w:t>69</w:t>
            </w:r>
          </w:p>
        </w:tc>
        <w:tc>
          <w:tcPr>
            <w:tcW w:w="2430" w:type="dxa"/>
            <w:vAlign w:val="bottom"/>
          </w:tcPr>
          <w:p w:rsidR="00913603" w:rsidRPr="0048207A" w:rsidP="00913603" w14:paraId="3E260DFA" w14:textId="35DF866F">
            <w:pPr>
              <w:spacing w:line="480" w:lineRule="auto"/>
              <w:rPr>
                <w:color w:val="000000"/>
                <w:szCs w:val="24"/>
              </w:rPr>
            </w:pPr>
            <w:r w:rsidRPr="0048207A">
              <w:rPr>
                <w:color w:val="000000"/>
                <w:szCs w:val="24"/>
              </w:rPr>
              <w:t>15</w:t>
            </w:r>
          </w:p>
        </w:tc>
      </w:tr>
      <w:tr w14:paraId="71F60E7C" w14:textId="77777777" w:rsidTr="00086CAD">
        <w:tblPrEx>
          <w:tblW w:w="9355" w:type="dxa"/>
          <w:tblLook w:val="04A0"/>
        </w:tblPrEx>
        <w:trPr>
          <w:trHeight w:val="94"/>
        </w:trPr>
        <w:tc>
          <w:tcPr>
            <w:tcW w:w="1345" w:type="dxa"/>
            <w:vAlign w:val="bottom"/>
          </w:tcPr>
          <w:p w:rsidR="00913603" w:rsidRPr="0048207A" w:rsidP="00913603" w14:paraId="1C295302" w14:textId="4E70AF02">
            <w:pPr>
              <w:spacing w:line="480" w:lineRule="auto"/>
              <w:rPr>
                <w:color w:val="000000"/>
                <w:szCs w:val="24"/>
              </w:rPr>
            </w:pPr>
            <w:r w:rsidRPr="0048207A">
              <w:rPr>
                <w:color w:val="000000"/>
                <w:szCs w:val="24"/>
              </w:rPr>
              <w:t>A</w:t>
            </w:r>
            <w:r w:rsidR="00337904">
              <w:rPr>
                <w:color w:val="000000"/>
                <w:szCs w:val="24"/>
              </w:rPr>
              <w:t xml:space="preserve"> to </w:t>
            </w:r>
            <w:r w:rsidRPr="0048207A">
              <w:rPr>
                <w:color w:val="000000"/>
                <w:szCs w:val="24"/>
              </w:rPr>
              <w:t>C1</w:t>
            </w:r>
          </w:p>
        </w:tc>
        <w:tc>
          <w:tcPr>
            <w:tcW w:w="1530" w:type="dxa"/>
            <w:vAlign w:val="bottom"/>
          </w:tcPr>
          <w:p w:rsidR="00913603" w:rsidRPr="0048207A" w:rsidP="00913603" w14:paraId="786234C3" w14:textId="226B75C0">
            <w:pPr>
              <w:spacing w:line="480" w:lineRule="auto"/>
              <w:rPr>
                <w:color w:val="000000"/>
                <w:szCs w:val="24"/>
              </w:rPr>
            </w:pPr>
            <w:r w:rsidRPr="0048207A">
              <w:rPr>
                <w:color w:val="000000"/>
                <w:szCs w:val="24"/>
              </w:rPr>
              <w:t>243</w:t>
            </w:r>
          </w:p>
        </w:tc>
        <w:tc>
          <w:tcPr>
            <w:tcW w:w="1350" w:type="dxa"/>
            <w:vAlign w:val="bottom"/>
          </w:tcPr>
          <w:p w:rsidR="00913603" w:rsidRPr="0048207A" w:rsidP="00913603" w14:paraId="6A8F1027" w14:textId="0F910817">
            <w:pPr>
              <w:spacing w:line="480" w:lineRule="auto"/>
              <w:rPr>
                <w:color w:val="000000"/>
                <w:szCs w:val="24"/>
              </w:rPr>
            </w:pPr>
            <w:r w:rsidRPr="0048207A">
              <w:rPr>
                <w:color w:val="000000"/>
                <w:szCs w:val="24"/>
              </w:rPr>
              <w:t>168</w:t>
            </w:r>
          </w:p>
        </w:tc>
        <w:tc>
          <w:tcPr>
            <w:tcW w:w="1350" w:type="dxa"/>
            <w:vAlign w:val="bottom"/>
          </w:tcPr>
          <w:p w:rsidR="00913603" w:rsidRPr="0048207A" w:rsidP="00913603" w14:paraId="0D6B96FE" w14:textId="49F01CD1">
            <w:pPr>
              <w:spacing w:line="480" w:lineRule="auto"/>
              <w:rPr>
                <w:color w:val="000000"/>
                <w:szCs w:val="24"/>
              </w:rPr>
            </w:pPr>
            <w:r w:rsidRPr="0048207A">
              <w:rPr>
                <w:color w:val="000000"/>
                <w:szCs w:val="24"/>
              </w:rPr>
              <w:t>99</w:t>
            </w:r>
          </w:p>
        </w:tc>
        <w:tc>
          <w:tcPr>
            <w:tcW w:w="1350" w:type="dxa"/>
            <w:vAlign w:val="bottom"/>
          </w:tcPr>
          <w:p w:rsidR="00913603" w:rsidRPr="0048207A" w:rsidP="00913603" w14:paraId="738C342F" w14:textId="1B8E5C30">
            <w:pPr>
              <w:spacing w:line="480" w:lineRule="auto"/>
              <w:rPr>
                <w:color w:val="000000"/>
                <w:szCs w:val="24"/>
              </w:rPr>
            </w:pPr>
            <w:r w:rsidRPr="0048207A">
              <w:rPr>
                <w:color w:val="000000"/>
                <w:szCs w:val="24"/>
              </w:rPr>
              <w:t>90</w:t>
            </w:r>
          </w:p>
        </w:tc>
        <w:tc>
          <w:tcPr>
            <w:tcW w:w="2430" w:type="dxa"/>
            <w:vAlign w:val="bottom"/>
          </w:tcPr>
          <w:p w:rsidR="00913603" w:rsidRPr="0048207A" w:rsidP="00913603" w14:paraId="64BAEBD4" w14:textId="3F73643F">
            <w:pPr>
              <w:spacing w:line="480" w:lineRule="auto"/>
              <w:rPr>
                <w:color w:val="000000"/>
                <w:szCs w:val="24"/>
              </w:rPr>
            </w:pPr>
            <w:r w:rsidRPr="0048207A">
              <w:rPr>
                <w:color w:val="000000"/>
                <w:szCs w:val="24"/>
              </w:rPr>
              <w:t>22</w:t>
            </w:r>
          </w:p>
        </w:tc>
      </w:tr>
      <w:tr w14:paraId="0C2B1129" w14:textId="77777777" w:rsidTr="00086CAD">
        <w:tblPrEx>
          <w:tblW w:w="9355" w:type="dxa"/>
          <w:tblLook w:val="04A0"/>
        </w:tblPrEx>
        <w:trPr>
          <w:trHeight w:val="94"/>
        </w:trPr>
        <w:tc>
          <w:tcPr>
            <w:tcW w:w="1345" w:type="dxa"/>
            <w:vAlign w:val="bottom"/>
          </w:tcPr>
          <w:p w:rsidR="00913603" w:rsidRPr="0048207A" w:rsidP="00913603" w14:paraId="392A4CC3" w14:textId="7FEB1D18">
            <w:pPr>
              <w:spacing w:line="480" w:lineRule="auto"/>
              <w:rPr>
                <w:color w:val="000000"/>
                <w:szCs w:val="24"/>
              </w:rPr>
            </w:pPr>
            <w:r w:rsidRPr="0048207A">
              <w:rPr>
                <w:color w:val="000000"/>
                <w:szCs w:val="24"/>
              </w:rPr>
              <w:t>A</w:t>
            </w:r>
            <w:r w:rsidR="00337904">
              <w:rPr>
                <w:color w:val="000000"/>
                <w:szCs w:val="24"/>
              </w:rPr>
              <w:t xml:space="preserve"> to </w:t>
            </w:r>
            <w:r w:rsidRPr="0048207A">
              <w:rPr>
                <w:color w:val="000000"/>
                <w:szCs w:val="24"/>
              </w:rPr>
              <w:t>C</w:t>
            </w:r>
          </w:p>
        </w:tc>
        <w:tc>
          <w:tcPr>
            <w:tcW w:w="1530" w:type="dxa"/>
            <w:vAlign w:val="bottom"/>
          </w:tcPr>
          <w:p w:rsidR="00913603" w:rsidRPr="0048207A" w:rsidP="00913603" w14:paraId="26CFAF6E" w14:textId="437DF4E9">
            <w:pPr>
              <w:spacing w:line="480" w:lineRule="auto"/>
              <w:rPr>
                <w:color w:val="000000"/>
                <w:szCs w:val="24"/>
              </w:rPr>
            </w:pPr>
            <w:r w:rsidRPr="0048207A">
              <w:rPr>
                <w:color w:val="000000"/>
                <w:szCs w:val="24"/>
              </w:rPr>
              <w:t>247</w:t>
            </w:r>
          </w:p>
        </w:tc>
        <w:tc>
          <w:tcPr>
            <w:tcW w:w="1350" w:type="dxa"/>
            <w:vAlign w:val="bottom"/>
          </w:tcPr>
          <w:p w:rsidR="00913603" w:rsidRPr="0048207A" w:rsidP="00913603" w14:paraId="0889D998" w14:textId="522969FB">
            <w:pPr>
              <w:spacing w:line="480" w:lineRule="auto"/>
              <w:rPr>
                <w:color w:val="000000"/>
                <w:szCs w:val="24"/>
              </w:rPr>
            </w:pPr>
            <w:r w:rsidRPr="0048207A">
              <w:rPr>
                <w:color w:val="000000"/>
                <w:szCs w:val="24"/>
              </w:rPr>
              <w:t>182</w:t>
            </w:r>
          </w:p>
        </w:tc>
        <w:tc>
          <w:tcPr>
            <w:tcW w:w="1350" w:type="dxa"/>
            <w:vAlign w:val="bottom"/>
          </w:tcPr>
          <w:p w:rsidR="00913603" w:rsidRPr="0048207A" w:rsidP="00913603" w14:paraId="2B6D4C66" w14:textId="19D3AC23">
            <w:pPr>
              <w:spacing w:line="480" w:lineRule="auto"/>
              <w:rPr>
                <w:color w:val="000000"/>
                <w:szCs w:val="24"/>
              </w:rPr>
            </w:pPr>
            <w:r w:rsidRPr="0048207A">
              <w:rPr>
                <w:color w:val="000000"/>
                <w:szCs w:val="24"/>
              </w:rPr>
              <w:t>110</w:t>
            </w:r>
          </w:p>
        </w:tc>
        <w:tc>
          <w:tcPr>
            <w:tcW w:w="1350" w:type="dxa"/>
            <w:vAlign w:val="bottom"/>
          </w:tcPr>
          <w:p w:rsidR="00913603" w:rsidRPr="0048207A" w:rsidP="00913603" w14:paraId="1B18B707" w14:textId="687F680B">
            <w:pPr>
              <w:spacing w:line="480" w:lineRule="auto"/>
              <w:rPr>
                <w:color w:val="000000"/>
                <w:szCs w:val="24"/>
              </w:rPr>
            </w:pPr>
            <w:r w:rsidRPr="0048207A">
              <w:rPr>
                <w:color w:val="000000"/>
                <w:szCs w:val="24"/>
              </w:rPr>
              <w:t>101</w:t>
            </w:r>
          </w:p>
        </w:tc>
        <w:tc>
          <w:tcPr>
            <w:tcW w:w="2430" w:type="dxa"/>
            <w:vAlign w:val="bottom"/>
          </w:tcPr>
          <w:p w:rsidR="00913603" w:rsidRPr="0048207A" w:rsidP="00913603" w14:paraId="1E325672" w14:textId="7AC76A13">
            <w:pPr>
              <w:spacing w:line="480" w:lineRule="auto"/>
              <w:rPr>
                <w:color w:val="000000"/>
                <w:szCs w:val="24"/>
              </w:rPr>
            </w:pPr>
            <w:r w:rsidRPr="0048207A">
              <w:rPr>
                <w:color w:val="000000"/>
                <w:szCs w:val="24"/>
              </w:rPr>
              <w:t>29</w:t>
            </w:r>
          </w:p>
        </w:tc>
      </w:tr>
      <w:tr w14:paraId="479015F4" w14:textId="77777777" w:rsidTr="00086CAD">
        <w:tblPrEx>
          <w:tblW w:w="9355" w:type="dxa"/>
          <w:tblLook w:val="04A0"/>
        </w:tblPrEx>
        <w:trPr>
          <w:trHeight w:val="94"/>
        </w:trPr>
        <w:tc>
          <w:tcPr>
            <w:tcW w:w="1345" w:type="dxa"/>
            <w:vAlign w:val="bottom"/>
          </w:tcPr>
          <w:p w:rsidR="00337904" w:rsidRPr="0048207A" w:rsidP="00337904" w14:paraId="30240CF1" w14:textId="50AF576D">
            <w:pPr>
              <w:spacing w:line="480" w:lineRule="auto"/>
              <w:rPr>
                <w:color w:val="000000"/>
                <w:szCs w:val="24"/>
              </w:rPr>
            </w:pPr>
            <w:r w:rsidRPr="0048207A">
              <w:rPr>
                <w:color w:val="000000"/>
                <w:szCs w:val="24"/>
              </w:rPr>
              <w:t>B1</w:t>
            </w:r>
            <w:r>
              <w:rPr>
                <w:color w:val="000000"/>
                <w:szCs w:val="24"/>
              </w:rPr>
              <w:t xml:space="preserve"> to </w:t>
            </w:r>
            <w:r w:rsidRPr="0048207A">
              <w:rPr>
                <w:color w:val="000000"/>
                <w:szCs w:val="24"/>
              </w:rPr>
              <w:t>B1</w:t>
            </w:r>
          </w:p>
        </w:tc>
        <w:tc>
          <w:tcPr>
            <w:tcW w:w="1530" w:type="dxa"/>
            <w:vAlign w:val="bottom"/>
          </w:tcPr>
          <w:p w:rsidR="00337904" w:rsidRPr="0048207A" w:rsidP="00337904" w14:paraId="72115915" w14:textId="5FBC7BFD">
            <w:pPr>
              <w:spacing w:line="480" w:lineRule="auto"/>
              <w:rPr>
                <w:color w:val="000000"/>
                <w:szCs w:val="24"/>
              </w:rPr>
            </w:pPr>
            <w:r w:rsidRPr="0048207A">
              <w:rPr>
                <w:color w:val="000000"/>
                <w:szCs w:val="24"/>
              </w:rPr>
              <w:t>197</w:t>
            </w:r>
          </w:p>
        </w:tc>
        <w:tc>
          <w:tcPr>
            <w:tcW w:w="1350" w:type="dxa"/>
            <w:vAlign w:val="bottom"/>
          </w:tcPr>
          <w:p w:rsidR="00337904" w:rsidRPr="0048207A" w:rsidP="00337904" w14:paraId="1E936B2C" w14:textId="5CED7AC4">
            <w:pPr>
              <w:spacing w:line="480" w:lineRule="auto"/>
              <w:rPr>
                <w:color w:val="000000"/>
                <w:szCs w:val="24"/>
              </w:rPr>
            </w:pPr>
            <w:r w:rsidRPr="0048207A">
              <w:rPr>
                <w:color w:val="000000"/>
                <w:szCs w:val="24"/>
              </w:rPr>
              <w:t>131</w:t>
            </w:r>
          </w:p>
        </w:tc>
        <w:tc>
          <w:tcPr>
            <w:tcW w:w="1350" w:type="dxa"/>
            <w:vAlign w:val="bottom"/>
          </w:tcPr>
          <w:p w:rsidR="00337904" w:rsidRPr="0048207A" w:rsidP="00337904" w14:paraId="18834A3C" w14:textId="1D8B9396">
            <w:pPr>
              <w:spacing w:line="480" w:lineRule="auto"/>
              <w:rPr>
                <w:color w:val="000000"/>
                <w:szCs w:val="24"/>
              </w:rPr>
            </w:pPr>
            <w:r w:rsidRPr="0048207A">
              <w:rPr>
                <w:color w:val="000000"/>
                <w:szCs w:val="24"/>
              </w:rPr>
              <w:t>70</w:t>
            </w:r>
          </w:p>
        </w:tc>
        <w:tc>
          <w:tcPr>
            <w:tcW w:w="1350" w:type="dxa"/>
            <w:vAlign w:val="bottom"/>
          </w:tcPr>
          <w:p w:rsidR="00337904" w:rsidRPr="0048207A" w:rsidP="00337904" w14:paraId="7FC38BB4" w14:textId="0EA9A7EE">
            <w:pPr>
              <w:spacing w:line="480" w:lineRule="auto"/>
              <w:rPr>
                <w:color w:val="000000"/>
                <w:szCs w:val="24"/>
              </w:rPr>
            </w:pPr>
            <w:r w:rsidRPr="0048207A">
              <w:rPr>
                <w:color w:val="000000"/>
                <w:szCs w:val="24"/>
              </w:rPr>
              <w:t>57</w:t>
            </w:r>
          </w:p>
        </w:tc>
        <w:tc>
          <w:tcPr>
            <w:tcW w:w="2430" w:type="dxa"/>
            <w:vAlign w:val="bottom"/>
          </w:tcPr>
          <w:p w:rsidR="00337904" w:rsidRPr="0048207A" w:rsidP="00337904" w14:paraId="0BD3632B" w14:textId="1D9BFF0C">
            <w:pPr>
              <w:spacing w:line="480" w:lineRule="auto"/>
              <w:rPr>
                <w:color w:val="000000"/>
                <w:szCs w:val="24"/>
              </w:rPr>
            </w:pPr>
            <w:r w:rsidRPr="0048207A">
              <w:rPr>
                <w:color w:val="000000"/>
                <w:szCs w:val="24"/>
              </w:rPr>
              <w:t>24</w:t>
            </w:r>
          </w:p>
        </w:tc>
      </w:tr>
      <w:tr w14:paraId="2C916628" w14:textId="77777777" w:rsidTr="00086CAD">
        <w:tblPrEx>
          <w:tblW w:w="9355" w:type="dxa"/>
          <w:tblLook w:val="04A0"/>
        </w:tblPrEx>
        <w:trPr>
          <w:trHeight w:val="94"/>
        </w:trPr>
        <w:tc>
          <w:tcPr>
            <w:tcW w:w="1345" w:type="dxa"/>
            <w:vAlign w:val="bottom"/>
          </w:tcPr>
          <w:p w:rsidR="00337904" w:rsidRPr="0048207A" w:rsidP="00337904" w14:paraId="562445BB" w14:textId="07991A46">
            <w:pPr>
              <w:spacing w:line="480" w:lineRule="auto"/>
              <w:rPr>
                <w:color w:val="000000"/>
                <w:szCs w:val="24"/>
              </w:rPr>
            </w:pPr>
            <w:r w:rsidRPr="0048207A">
              <w:rPr>
                <w:color w:val="000000"/>
                <w:szCs w:val="24"/>
              </w:rPr>
              <w:t>B1</w:t>
            </w:r>
            <w:r>
              <w:rPr>
                <w:color w:val="000000"/>
                <w:szCs w:val="24"/>
              </w:rPr>
              <w:t xml:space="preserve"> to </w:t>
            </w:r>
            <w:r w:rsidRPr="0048207A">
              <w:rPr>
                <w:color w:val="000000"/>
                <w:szCs w:val="24"/>
              </w:rPr>
              <w:t>B</w:t>
            </w:r>
          </w:p>
        </w:tc>
        <w:tc>
          <w:tcPr>
            <w:tcW w:w="1530" w:type="dxa"/>
            <w:vAlign w:val="bottom"/>
          </w:tcPr>
          <w:p w:rsidR="00337904" w:rsidRPr="0048207A" w:rsidP="00337904" w14:paraId="4893FE56" w14:textId="46B227BE">
            <w:pPr>
              <w:spacing w:line="480" w:lineRule="auto"/>
              <w:rPr>
                <w:color w:val="000000"/>
                <w:szCs w:val="24"/>
              </w:rPr>
            </w:pPr>
            <w:r w:rsidRPr="0048207A">
              <w:rPr>
                <w:color w:val="000000"/>
                <w:szCs w:val="24"/>
              </w:rPr>
              <w:t>223</w:t>
            </w:r>
          </w:p>
        </w:tc>
        <w:tc>
          <w:tcPr>
            <w:tcW w:w="1350" w:type="dxa"/>
            <w:vAlign w:val="bottom"/>
          </w:tcPr>
          <w:p w:rsidR="00337904" w:rsidRPr="0048207A" w:rsidP="00337904" w14:paraId="7090F631" w14:textId="3BAB8D86">
            <w:pPr>
              <w:spacing w:line="480" w:lineRule="auto"/>
              <w:rPr>
                <w:color w:val="000000"/>
                <w:szCs w:val="24"/>
              </w:rPr>
            </w:pPr>
            <w:r w:rsidRPr="0048207A">
              <w:rPr>
                <w:color w:val="000000"/>
                <w:szCs w:val="24"/>
              </w:rPr>
              <w:t>149</w:t>
            </w:r>
          </w:p>
        </w:tc>
        <w:tc>
          <w:tcPr>
            <w:tcW w:w="1350" w:type="dxa"/>
            <w:vAlign w:val="bottom"/>
          </w:tcPr>
          <w:p w:rsidR="00337904" w:rsidRPr="0048207A" w:rsidP="00337904" w14:paraId="0441A48C" w14:textId="3F611DEE">
            <w:pPr>
              <w:spacing w:line="480" w:lineRule="auto"/>
              <w:rPr>
                <w:color w:val="000000"/>
                <w:szCs w:val="24"/>
              </w:rPr>
            </w:pPr>
            <w:r w:rsidRPr="0048207A">
              <w:rPr>
                <w:color w:val="000000"/>
                <w:szCs w:val="24"/>
              </w:rPr>
              <w:t>84</w:t>
            </w:r>
          </w:p>
        </w:tc>
        <w:tc>
          <w:tcPr>
            <w:tcW w:w="1350" w:type="dxa"/>
            <w:vAlign w:val="bottom"/>
          </w:tcPr>
          <w:p w:rsidR="00337904" w:rsidRPr="0048207A" w:rsidP="00337904" w14:paraId="65525451" w14:textId="0BC5FB8C">
            <w:pPr>
              <w:spacing w:line="480" w:lineRule="auto"/>
              <w:rPr>
                <w:color w:val="000000"/>
                <w:szCs w:val="24"/>
              </w:rPr>
            </w:pPr>
            <w:r w:rsidRPr="0048207A">
              <w:rPr>
                <w:color w:val="000000"/>
                <w:szCs w:val="24"/>
              </w:rPr>
              <w:t>71</w:t>
            </w:r>
          </w:p>
        </w:tc>
        <w:tc>
          <w:tcPr>
            <w:tcW w:w="2430" w:type="dxa"/>
            <w:vAlign w:val="bottom"/>
          </w:tcPr>
          <w:p w:rsidR="00337904" w:rsidRPr="0048207A" w:rsidP="00337904" w14:paraId="22798FE1" w14:textId="454FD34B">
            <w:pPr>
              <w:spacing w:line="480" w:lineRule="auto"/>
              <w:rPr>
                <w:color w:val="000000"/>
                <w:szCs w:val="24"/>
              </w:rPr>
            </w:pPr>
            <w:r w:rsidRPr="0048207A">
              <w:rPr>
                <w:color w:val="000000"/>
                <w:szCs w:val="24"/>
              </w:rPr>
              <w:t>24</w:t>
            </w:r>
          </w:p>
        </w:tc>
      </w:tr>
      <w:tr w14:paraId="45262FD7" w14:textId="77777777" w:rsidTr="00086CAD">
        <w:tblPrEx>
          <w:tblW w:w="9355" w:type="dxa"/>
          <w:tblLook w:val="04A0"/>
        </w:tblPrEx>
        <w:trPr>
          <w:trHeight w:val="94"/>
        </w:trPr>
        <w:tc>
          <w:tcPr>
            <w:tcW w:w="1345" w:type="dxa"/>
            <w:vAlign w:val="bottom"/>
          </w:tcPr>
          <w:p w:rsidR="00337904" w:rsidRPr="0048207A" w:rsidP="00337904" w14:paraId="1EA582ED" w14:textId="22B9CEFC">
            <w:pPr>
              <w:spacing w:line="480" w:lineRule="auto"/>
              <w:rPr>
                <w:color w:val="000000"/>
                <w:szCs w:val="24"/>
              </w:rPr>
            </w:pPr>
            <w:r w:rsidRPr="0048207A">
              <w:rPr>
                <w:color w:val="000000"/>
                <w:szCs w:val="24"/>
              </w:rPr>
              <w:t>B1</w:t>
            </w:r>
            <w:r>
              <w:rPr>
                <w:color w:val="000000"/>
                <w:szCs w:val="24"/>
              </w:rPr>
              <w:t xml:space="preserve"> to </w:t>
            </w:r>
            <w:r w:rsidRPr="0048207A">
              <w:rPr>
                <w:color w:val="000000"/>
                <w:szCs w:val="24"/>
              </w:rPr>
              <w:t>C1</w:t>
            </w:r>
          </w:p>
        </w:tc>
        <w:tc>
          <w:tcPr>
            <w:tcW w:w="1530" w:type="dxa"/>
            <w:vAlign w:val="bottom"/>
          </w:tcPr>
          <w:p w:rsidR="00337904" w:rsidRPr="0048207A" w:rsidP="00337904" w14:paraId="4E9C8B33" w14:textId="5040660C">
            <w:pPr>
              <w:spacing w:line="480" w:lineRule="auto"/>
              <w:rPr>
                <w:color w:val="000000"/>
                <w:szCs w:val="24"/>
              </w:rPr>
            </w:pPr>
            <w:r w:rsidRPr="0048207A">
              <w:rPr>
                <w:color w:val="000000"/>
                <w:szCs w:val="24"/>
              </w:rPr>
              <w:t>256</w:t>
            </w:r>
          </w:p>
        </w:tc>
        <w:tc>
          <w:tcPr>
            <w:tcW w:w="1350" w:type="dxa"/>
            <w:vAlign w:val="bottom"/>
          </w:tcPr>
          <w:p w:rsidR="00337904" w:rsidRPr="0048207A" w:rsidP="00337904" w14:paraId="6694F9D8" w14:textId="5197C31C">
            <w:pPr>
              <w:spacing w:line="480" w:lineRule="auto"/>
              <w:rPr>
                <w:color w:val="000000"/>
                <w:szCs w:val="24"/>
              </w:rPr>
            </w:pPr>
            <w:r w:rsidRPr="0048207A">
              <w:rPr>
                <w:color w:val="000000"/>
                <w:szCs w:val="24"/>
              </w:rPr>
              <w:t>181</w:t>
            </w:r>
          </w:p>
        </w:tc>
        <w:tc>
          <w:tcPr>
            <w:tcW w:w="1350" w:type="dxa"/>
            <w:vAlign w:val="bottom"/>
          </w:tcPr>
          <w:p w:rsidR="00337904" w:rsidRPr="0048207A" w:rsidP="00337904" w14:paraId="7C41B6E5" w14:textId="4624E077">
            <w:pPr>
              <w:spacing w:line="480" w:lineRule="auto"/>
              <w:rPr>
                <w:color w:val="000000"/>
                <w:szCs w:val="24"/>
              </w:rPr>
            </w:pPr>
            <w:r w:rsidRPr="0048207A">
              <w:rPr>
                <w:color w:val="000000"/>
                <w:szCs w:val="24"/>
              </w:rPr>
              <w:t>108</w:t>
            </w:r>
          </w:p>
        </w:tc>
        <w:tc>
          <w:tcPr>
            <w:tcW w:w="1350" w:type="dxa"/>
            <w:vAlign w:val="bottom"/>
          </w:tcPr>
          <w:p w:rsidR="00337904" w:rsidRPr="0048207A" w:rsidP="00337904" w14:paraId="001270D2" w14:textId="0FC40029">
            <w:pPr>
              <w:spacing w:line="480" w:lineRule="auto"/>
              <w:rPr>
                <w:color w:val="000000"/>
                <w:szCs w:val="24"/>
              </w:rPr>
            </w:pPr>
            <w:r w:rsidRPr="0048207A">
              <w:rPr>
                <w:color w:val="000000"/>
                <w:szCs w:val="24"/>
              </w:rPr>
              <w:t>92</w:t>
            </w:r>
          </w:p>
        </w:tc>
        <w:tc>
          <w:tcPr>
            <w:tcW w:w="2430" w:type="dxa"/>
            <w:vAlign w:val="bottom"/>
          </w:tcPr>
          <w:p w:rsidR="00337904" w:rsidRPr="0048207A" w:rsidP="00337904" w14:paraId="5E7EE50E" w14:textId="6D46F0F2">
            <w:pPr>
              <w:spacing w:line="480" w:lineRule="auto"/>
              <w:rPr>
                <w:color w:val="000000"/>
                <w:szCs w:val="24"/>
              </w:rPr>
            </w:pPr>
            <w:r w:rsidRPr="0048207A">
              <w:rPr>
                <w:color w:val="000000"/>
                <w:szCs w:val="24"/>
              </w:rPr>
              <w:t>40</w:t>
            </w:r>
          </w:p>
        </w:tc>
      </w:tr>
      <w:tr w14:paraId="243CC3EF" w14:textId="77777777" w:rsidTr="00086CAD">
        <w:tblPrEx>
          <w:tblW w:w="9355" w:type="dxa"/>
          <w:tblLook w:val="04A0"/>
        </w:tblPrEx>
        <w:trPr>
          <w:trHeight w:val="94"/>
        </w:trPr>
        <w:tc>
          <w:tcPr>
            <w:tcW w:w="1345" w:type="dxa"/>
            <w:vAlign w:val="bottom"/>
          </w:tcPr>
          <w:p w:rsidR="00337904" w:rsidRPr="0048207A" w:rsidP="00337904" w14:paraId="0EAB1554" w14:textId="2E28256F">
            <w:pPr>
              <w:spacing w:line="480" w:lineRule="auto"/>
              <w:rPr>
                <w:color w:val="000000"/>
                <w:szCs w:val="24"/>
              </w:rPr>
            </w:pPr>
            <w:r w:rsidRPr="0048207A">
              <w:rPr>
                <w:color w:val="000000"/>
                <w:szCs w:val="24"/>
              </w:rPr>
              <w:t>B1</w:t>
            </w:r>
            <w:r>
              <w:rPr>
                <w:color w:val="000000"/>
                <w:szCs w:val="24"/>
              </w:rPr>
              <w:t xml:space="preserve"> to </w:t>
            </w:r>
            <w:r w:rsidRPr="0048207A">
              <w:rPr>
                <w:color w:val="000000"/>
                <w:szCs w:val="24"/>
              </w:rPr>
              <w:t>C</w:t>
            </w:r>
          </w:p>
        </w:tc>
        <w:tc>
          <w:tcPr>
            <w:tcW w:w="1530" w:type="dxa"/>
            <w:vAlign w:val="bottom"/>
          </w:tcPr>
          <w:p w:rsidR="00337904" w:rsidRPr="0048207A" w:rsidP="00337904" w14:paraId="545DF661" w14:textId="044B3EC1">
            <w:pPr>
              <w:spacing w:line="480" w:lineRule="auto"/>
              <w:rPr>
                <w:color w:val="000000"/>
                <w:szCs w:val="24"/>
              </w:rPr>
            </w:pPr>
            <w:r w:rsidRPr="0048207A">
              <w:rPr>
                <w:color w:val="000000"/>
                <w:szCs w:val="24"/>
              </w:rPr>
              <w:t>259</w:t>
            </w:r>
          </w:p>
        </w:tc>
        <w:tc>
          <w:tcPr>
            <w:tcW w:w="1350" w:type="dxa"/>
            <w:vAlign w:val="bottom"/>
          </w:tcPr>
          <w:p w:rsidR="00337904" w:rsidRPr="0048207A" w:rsidP="00337904" w14:paraId="33C1D04A" w14:textId="55B32FB4">
            <w:pPr>
              <w:spacing w:line="480" w:lineRule="auto"/>
              <w:rPr>
                <w:color w:val="000000"/>
                <w:szCs w:val="24"/>
              </w:rPr>
            </w:pPr>
            <w:r w:rsidRPr="0048207A">
              <w:rPr>
                <w:color w:val="000000"/>
                <w:szCs w:val="24"/>
              </w:rPr>
              <w:t>195</w:t>
            </w:r>
          </w:p>
        </w:tc>
        <w:tc>
          <w:tcPr>
            <w:tcW w:w="1350" w:type="dxa"/>
            <w:vAlign w:val="bottom"/>
          </w:tcPr>
          <w:p w:rsidR="00337904" w:rsidRPr="0048207A" w:rsidP="00337904" w14:paraId="2D6073B0" w14:textId="5639F211">
            <w:pPr>
              <w:spacing w:line="480" w:lineRule="auto"/>
              <w:rPr>
                <w:color w:val="000000"/>
                <w:szCs w:val="24"/>
              </w:rPr>
            </w:pPr>
            <w:r w:rsidRPr="0048207A">
              <w:rPr>
                <w:color w:val="000000"/>
                <w:szCs w:val="24"/>
              </w:rPr>
              <w:t>116</w:t>
            </w:r>
          </w:p>
        </w:tc>
        <w:tc>
          <w:tcPr>
            <w:tcW w:w="1350" w:type="dxa"/>
            <w:vAlign w:val="bottom"/>
          </w:tcPr>
          <w:p w:rsidR="00337904" w:rsidRPr="0048207A" w:rsidP="00337904" w14:paraId="6842E161" w14:textId="080862AD">
            <w:pPr>
              <w:spacing w:line="480" w:lineRule="auto"/>
              <w:rPr>
                <w:color w:val="000000"/>
                <w:szCs w:val="24"/>
              </w:rPr>
            </w:pPr>
            <w:r w:rsidRPr="0048207A">
              <w:rPr>
                <w:color w:val="000000"/>
                <w:szCs w:val="24"/>
              </w:rPr>
              <w:t>103</w:t>
            </w:r>
          </w:p>
        </w:tc>
        <w:tc>
          <w:tcPr>
            <w:tcW w:w="2430" w:type="dxa"/>
            <w:vAlign w:val="bottom"/>
          </w:tcPr>
          <w:p w:rsidR="00337904" w:rsidRPr="0048207A" w:rsidP="00337904" w14:paraId="68CD3A26" w14:textId="44BE3AEC">
            <w:pPr>
              <w:spacing w:line="480" w:lineRule="auto"/>
              <w:rPr>
                <w:color w:val="000000"/>
                <w:szCs w:val="24"/>
              </w:rPr>
            </w:pPr>
            <w:r w:rsidRPr="0048207A">
              <w:rPr>
                <w:color w:val="000000"/>
                <w:szCs w:val="24"/>
              </w:rPr>
              <w:t>40</w:t>
            </w:r>
          </w:p>
        </w:tc>
      </w:tr>
      <w:tr w14:paraId="5DD5DCEA" w14:textId="77777777" w:rsidTr="00086CAD">
        <w:tblPrEx>
          <w:tblW w:w="9355" w:type="dxa"/>
          <w:tblLook w:val="04A0"/>
        </w:tblPrEx>
        <w:trPr>
          <w:trHeight w:val="94"/>
        </w:trPr>
        <w:tc>
          <w:tcPr>
            <w:tcW w:w="1345" w:type="dxa"/>
            <w:vAlign w:val="bottom"/>
          </w:tcPr>
          <w:p w:rsidR="00337904" w:rsidRPr="0048207A" w:rsidP="00337904" w14:paraId="7DEAC5B1" w14:textId="7AEEB7D8">
            <w:pPr>
              <w:spacing w:line="480" w:lineRule="auto"/>
              <w:rPr>
                <w:color w:val="000000"/>
                <w:szCs w:val="24"/>
              </w:rPr>
            </w:pPr>
            <w:r w:rsidRPr="0048207A">
              <w:rPr>
                <w:color w:val="000000"/>
                <w:szCs w:val="24"/>
              </w:rPr>
              <w:t>B</w:t>
            </w:r>
            <w:r>
              <w:rPr>
                <w:color w:val="000000"/>
                <w:szCs w:val="24"/>
              </w:rPr>
              <w:t xml:space="preserve"> to </w:t>
            </w:r>
            <w:r w:rsidRPr="0048207A">
              <w:rPr>
                <w:color w:val="000000"/>
                <w:szCs w:val="24"/>
              </w:rPr>
              <w:t>B</w:t>
            </w:r>
          </w:p>
        </w:tc>
        <w:tc>
          <w:tcPr>
            <w:tcW w:w="1530" w:type="dxa"/>
            <w:vAlign w:val="bottom"/>
          </w:tcPr>
          <w:p w:rsidR="00337904" w:rsidRPr="0048207A" w:rsidP="00337904" w14:paraId="32AF0DC3" w14:textId="76568395">
            <w:pPr>
              <w:spacing w:line="480" w:lineRule="auto"/>
              <w:rPr>
                <w:color w:val="000000"/>
                <w:szCs w:val="24"/>
              </w:rPr>
            </w:pPr>
            <w:r w:rsidRPr="0048207A">
              <w:rPr>
                <w:color w:val="000000"/>
                <w:szCs w:val="24"/>
              </w:rPr>
              <w:t>237</w:t>
            </w:r>
          </w:p>
        </w:tc>
        <w:tc>
          <w:tcPr>
            <w:tcW w:w="1350" w:type="dxa"/>
            <w:vAlign w:val="bottom"/>
          </w:tcPr>
          <w:p w:rsidR="00337904" w:rsidRPr="0048207A" w:rsidP="00337904" w14:paraId="00AFD26D" w14:textId="7002E15D">
            <w:pPr>
              <w:spacing w:line="480" w:lineRule="auto"/>
              <w:rPr>
                <w:color w:val="000000"/>
                <w:szCs w:val="24"/>
              </w:rPr>
            </w:pPr>
            <w:r w:rsidRPr="0048207A">
              <w:rPr>
                <w:color w:val="000000"/>
                <w:szCs w:val="24"/>
              </w:rPr>
              <w:t>164</w:t>
            </w:r>
          </w:p>
        </w:tc>
        <w:tc>
          <w:tcPr>
            <w:tcW w:w="1350" w:type="dxa"/>
            <w:vAlign w:val="bottom"/>
          </w:tcPr>
          <w:p w:rsidR="00337904" w:rsidRPr="0048207A" w:rsidP="00337904" w14:paraId="7428583E" w14:textId="398C9EE7">
            <w:pPr>
              <w:spacing w:line="480" w:lineRule="auto"/>
              <w:rPr>
                <w:color w:val="000000"/>
                <w:szCs w:val="24"/>
              </w:rPr>
            </w:pPr>
            <w:r w:rsidRPr="0048207A">
              <w:rPr>
                <w:color w:val="000000"/>
                <w:szCs w:val="24"/>
              </w:rPr>
              <w:t>94</w:t>
            </w:r>
          </w:p>
        </w:tc>
        <w:tc>
          <w:tcPr>
            <w:tcW w:w="1350" w:type="dxa"/>
            <w:vAlign w:val="bottom"/>
          </w:tcPr>
          <w:p w:rsidR="00337904" w:rsidRPr="0048207A" w:rsidP="00337904" w14:paraId="4ACE28A7" w14:textId="62B8CFF8">
            <w:pPr>
              <w:spacing w:line="480" w:lineRule="auto"/>
              <w:rPr>
                <w:color w:val="000000"/>
                <w:szCs w:val="24"/>
              </w:rPr>
            </w:pPr>
            <w:r w:rsidRPr="0048207A">
              <w:rPr>
                <w:color w:val="000000"/>
                <w:szCs w:val="24"/>
              </w:rPr>
              <w:t>74</w:t>
            </w:r>
          </w:p>
        </w:tc>
        <w:tc>
          <w:tcPr>
            <w:tcW w:w="2430" w:type="dxa"/>
            <w:vAlign w:val="bottom"/>
          </w:tcPr>
          <w:p w:rsidR="00337904" w:rsidRPr="0048207A" w:rsidP="00337904" w14:paraId="61FA63DC" w14:textId="670F44F1">
            <w:pPr>
              <w:spacing w:line="480" w:lineRule="auto"/>
              <w:rPr>
                <w:color w:val="000000"/>
                <w:szCs w:val="24"/>
              </w:rPr>
            </w:pPr>
            <w:r w:rsidRPr="0048207A">
              <w:rPr>
                <w:color w:val="000000"/>
                <w:szCs w:val="24"/>
              </w:rPr>
              <w:t>24</w:t>
            </w:r>
          </w:p>
        </w:tc>
      </w:tr>
      <w:tr w14:paraId="345EBFF9" w14:textId="77777777" w:rsidTr="00086CAD">
        <w:tblPrEx>
          <w:tblW w:w="9355" w:type="dxa"/>
          <w:tblLook w:val="04A0"/>
        </w:tblPrEx>
        <w:trPr>
          <w:trHeight w:val="94"/>
        </w:trPr>
        <w:tc>
          <w:tcPr>
            <w:tcW w:w="1345" w:type="dxa"/>
            <w:vAlign w:val="bottom"/>
          </w:tcPr>
          <w:p w:rsidR="00337904" w:rsidRPr="0048207A" w:rsidP="00337904" w14:paraId="6D60F62C" w14:textId="51824E48">
            <w:pPr>
              <w:spacing w:line="480" w:lineRule="auto"/>
              <w:rPr>
                <w:color w:val="000000"/>
                <w:szCs w:val="24"/>
              </w:rPr>
            </w:pPr>
            <w:r w:rsidRPr="0048207A">
              <w:rPr>
                <w:color w:val="000000"/>
                <w:szCs w:val="24"/>
              </w:rPr>
              <w:t>B</w:t>
            </w:r>
            <w:r>
              <w:rPr>
                <w:color w:val="000000"/>
                <w:szCs w:val="24"/>
              </w:rPr>
              <w:t xml:space="preserve"> to </w:t>
            </w:r>
            <w:r w:rsidRPr="0048207A">
              <w:rPr>
                <w:color w:val="000000"/>
                <w:szCs w:val="24"/>
              </w:rPr>
              <w:t>C1</w:t>
            </w:r>
          </w:p>
        </w:tc>
        <w:tc>
          <w:tcPr>
            <w:tcW w:w="1530" w:type="dxa"/>
            <w:vAlign w:val="bottom"/>
          </w:tcPr>
          <w:p w:rsidR="00337904" w:rsidRPr="0048207A" w:rsidP="00337904" w14:paraId="3BD0E867" w14:textId="31157B15">
            <w:pPr>
              <w:spacing w:line="480" w:lineRule="auto"/>
              <w:rPr>
                <w:color w:val="000000"/>
                <w:szCs w:val="24"/>
              </w:rPr>
            </w:pPr>
            <w:r w:rsidRPr="0048207A">
              <w:rPr>
                <w:color w:val="000000"/>
                <w:szCs w:val="24"/>
              </w:rPr>
              <w:t>271</w:t>
            </w:r>
          </w:p>
        </w:tc>
        <w:tc>
          <w:tcPr>
            <w:tcW w:w="1350" w:type="dxa"/>
            <w:vAlign w:val="bottom"/>
          </w:tcPr>
          <w:p w:rsidR="00337904" w:rsidRPr="0048207A" w:rsidP="00337904" w14:paraId="587078FB" w14:textId="201F9C30">
            <w:pPr>
              <w:spacing w:line="480" w:lineRule="auto"/>
              <w:rPr>
                <w:color w:val="000000"/>
                <w:szCs w:val="24"/>
              </w:rPr>
            </w:pPr>
            <w:r w:rsidRPr="0048207A">
              <w:rPr>
                <w:color w:val="000000"/>
                <w:szCs w:val="24"/>
              </w:rPr>
              <w:t>195</w:t>
            </w:r>
          </w:p>
        </w:tc>
        <w:tc>
          <w:tcPr>
            <w:tcW w:w="1350" w:type="dxa"/>
            <w:vAlign w:val="bottom"/>
          </w:tcPr>
          <w:p w:rsidR="00337904" w:rsidRPr="0048207A" w:rsidP="00337904" w14:paraId="6DDE0C8C" w14:textId="77B7A2D1">
            <w:pPr>
              <w:spacing w:line="480" w:lineRule="auto"/>
              <w:rPr>
                <w:color w:val="000000"/>
                <w:szCs w:val="24"/>
              </w:rPr>
            </w:pPr>
            <w:r w:rsidRPr="0048207A">
              <w:rPr>
                <w:color w:val="000000"/>
                <w:szCs w:val="24"/>
              </w:rPr>
              <w:t>115</w:t>
            </w:r>
          </w:p>
        </w:tc>
        <w:tc>
          <w:tcPr>
            <w:tcW w:w="1350" w:type="dxa"/>
            <w:vAlign w:val="bottom"/>
          </w:tcPr>
          <w:p w:rsidR="00337904" w:rsidRPr="0048207A" w:rsidP="00337904" w14:paraId="7A944F1E" w14:textId="5AEE33C5">
            <w:pPr>
              <w:spacing w:line="480" w:lineRule="auto"/>
              <w:rPr>
                <w:color w:val="000000"/>
                <w:szCs w:val="24"/>
              </w:rPr>
            </w:pPr>
            <w:r w:rsidRPr="0048207A">
              <w:rPr>
                <w:color w:val="000000"/>
                <w:szCs w:val="24"/>
              </w:rPr>
              <w:t>95</w:t>
            </w:r>
          </w:p>
        </w:tc>
        <w:tc>
          <w:tcPr>
            <w:tcW w:w="2430" w:type="dxa"/>
            <w:vAlign w:val="bottom"/>
          </w:tcPr>
          <w:p w:rsidR="00337904" w:rsidRPr="0048207A" w:rsidP="00337904" w14:paraId="26AC2045" w14:textId="7F44F28A">
            <w:pPr>
              <w:spacing w:line="480" w:lineRule="auto"/>
              <w:rPr>
                <w:color w:val="000000"/>
                <w:szCs w:val="24"/>
              </w:rPr>
            </w:pPr>
            <w:r w:rsidRPr="0048207A">
              <w:rPr>
                <w:color w:val="000000"/>
                <w:szCs w:val="24"/>
              </w:rPr>
              <w:t>40</w:t>
            </w:r>
          </w:p>
        </w:tc>
      </w:tr>
      <w:tr w14:paraId="00D8B15A" w14:textId="77777777" w:rsidTr="00086CAD">
        <w:tblPrEx>
          <w:tblW w:w="9355" w:type="dxa"/>
          <w:tblLook w:val="04A0"/>
        </w:tblPrEx>
        <w:trPr>
          <w:trHeight w:val="94"/>
        </w:trPr>
        <w:tc>
          <w:tcPr>
            <w:tcW w:w="1345" w:type="dxa"/>
            <w:vAlign w:val="bottom"/>
          </w:tcPr>
          <w:p w:rsidR="00337904" w:rsidRPr="0048207A" w:rsidP="00337904" w14:paraId="0376DACD" w14:textId="2981A99A">
            <w:pPr>
              <w:spacing w:line="480" w:lineRule="auto"/>
              <w:rPr>
                <w:color w:val="000000"/>
                <w:szCs w:val="24"/>
              </w:rPr>
            </w:pPr>
            <w:r w:rsidRPr="0048207A">
              <w:rPr>
                <w:color w:val="000000"/>
                <w:szCs w:val="24"/>
              </w:rPr>
              <w:t>B</w:t>
            </w:r>
            <w:r>
              <w:rPr>
                <w:color w:val="000000"/>
                <w:szCs w:val="24"/>
              </w:rPr>
              <w:t xml:space="preserve"> to </w:t>
            </w:r>
            <w:r w:rsidRPr="0048207A">
              <w:rPr>
                <w:color w:val="000000"/>
                <w:szCs w:val="24"/>
              </w:rPr>
              <w:t>C</w:t>
            </w:r>
          </w:p>
        </w:tc>
        <w:tc>
          <w:tcPr>
            <w:tcW w:w="1530" w:type="dxa"/>
            <w:vAlign w:val="bottom"/>
          </w:tcPr>
          <w:p w:rsidR="00337904" w:rsidRPr="0048207A" w:rsidP="00337904" w14:paraId="01B495C9" w14:textId="592F3ED1">
            <w:pPr>
              <w:spacing w:line="480" w:lineRule="auto"/>
              <w:rPr>
                <w:color w:val="000000"/>
                <w:szCs w:val="24"/>
              </w:rPr>
            </w:pPr>
            <w:r w:rsidRPr="0048207A">
              <w:rPr>
                <w:color w:val="000000"/>
                <w:szCs w:val="24"/>
              </w:rPr>
              <w:t>274</w:t>
            </w:r>
          </w:p>
        </w:tc>
        <w:tc>
          <w:tcPr>
            <w:tcW w:w="1350" w:type="dxa"/>
            <w:vAlign w:val="bottom"/>
          </w:tcPr>
          <w:p w:rsidR="00337904" w:rsidRPr="0048207A" w:rsidP="00337904" w14:paraId="07E2F30D" w14:textId="0489BC7C">
            <w:pPr>
              <w:spacing w:line="480" w:lineRule="auto"/>
              <w:rPr>
                <w:color w:val="000000"/>
                <w:szCs w:val="24"/>
              </w:rPr>
            </w:pPr>
            <w:r w:rsidRPr="0048207A">
              <w:rPr>
                <w:color w:val="000000"/>
                <w:szCs w:val="24"/>
              </w:rPr>
              <w:t>209</w:t>
            </w:r>
          </w:p>
        </w:tc>
        <w:tc>
          <w:tcPr>
            <w:tcW w:w="1350" w:type="dxa"/>
            <w:vAlign w:val="bottom"/>
          </w:tcPr>
          <w:p w:rsidR="00337904" w:rsidRPr="0048207A" w:rsidP="00337904" w14:paraId="2892E197" w14:textId="33108B62">
            <w:pPr>
              <w:spacing w:line="480" w:lineRule="auto"/>
              <w:rPr>
                <w:color w:val="000000"/>
                <w:szCs w:val="24"/>
              </w:rPr>
            </w:pPr>
            <w:r w:rsidRPr="0048207A">
              <w:rPr>
                <w:color w:val="000000"/>
                <w:szCs w:val="24"/>
              </w:rPr>
              <w:t>125</w:t>
            </w:r>
          </w:p>
        </w:tc>
        <w:tc>
          <w:tcPr>
            <w:tcW w:w="1350" w:type="dxa"/>
            <w:vAlign w:val="bottom"/>
          </w:tcPr>
          <w:p w:rsidR="00337904" w:rsidRPr="0048207A" w:rsidP="00337904" w14:paraId="25E51A3D" w14:textId="1CBFFA22">
            <w:pPr>
              <w:spacing w:line="480" w:lineRule="auto"/>
              <w:rPr>
                <w:color w:val="000000"/>
                <w:szCs w:val="24"/>
              </w:rPr>
            </w:pPr>
            <w:r w:rsidRPr="0048207A">
              <w:rPr>
                <w:color w:val="000000"/>
                <w:szCs w:val="24"/>
              </w:rPr>
              <w:t>106</w:t>
            </w:r>
          </w:p>
        </w:tc>
        <w:tc>
          <w:tcPr>
            <w:tcW w:w="2430" w:type="dxa"/>
            <w:vAlign w:val="bottom"/>
          </w:tcPr>
          <w:p w:rsidR="00337904" w:rsidRPr="0048207A" w:rsidP="00337904" w14:paraId="612C702F" w14:textId="0BEBA16D">
            <w:pPr>
              <w:spacing w:line="480" w:lineRule="auto"/>
              <w:rPr>
                <w:color w:val="000000"/>
                <w:szCs w:val="24"/>
              </w:rPr>
            </w:pPr>
            <w:r w:rsidRPr="0048207A">
              <w:rPr>
                <w:color w:val="000000"/>
                <w:szCs w:val="24"/>
              </w:rPr>
              <w:t>40</w:t>
            </w:r>
          </w:p>
        </w:tc>
      </w:tr>
      <w:tr w14:paraId="665F878E" w14:textId="77777777" w:rsidTr="00086CAD">
        <w:tblPrEx>
          <w:tblW w:w="9355" w:type="dxa"/>
          <w:tblLook w:val="04A0"/>
        </w:tblPrEx>
        <w:trPr>
          <w:trHeight w:val="94"/>
        </w:trPr>
        <w:tc>
          <w:tcPr>
            <w:tcW w:w="1345" w:type="dxa"/>
            <w:vAlign w:val="bottom"/>
          </w:tcPr>
          <w:p w:rsidR="00337904" w:rsidRPr="0048207A" w:rsidP="00337904" w14:paraId="1A8B5DB3" w14:textId="29E01250">
            <w:pPr>
              <w:spacing w:line="480" w:lineRule="auto"/>
              <w:rPr>
                <w:color w:val="000000"/>
                <w:szCs w:val="24"/>
              </w:rPr>
            </w:pPr>
            <w:r w:rsidRPr="0048207A">
              <w:rPr>
                <w:color w:val="000000"/>
                <w:szCs w:val="24"/>
              </w:rPr>
              <w:t>C1</w:t>
            </w:r>
            <w:r>
              <w:rPr>
                <w:color w:val="000000"/>
                <w:szCs w:val="24"/>
              </w:rPr>
              <w:t xml:space="preserve"> to </w:t>
            </w:r>
            <w:r w:rsidRPr="0048207A">
              <w:rPr>
                <w:color w:val="000000"/>
                <w:szCs w:val="24"/>
              </w:rPr>
              <w:t>C1</w:t>
            </w:r>
          </w:p>
        </w:tc>
        <w:tc>
          <w:tcPr>
            <w:tcW w:w="1530" w:type="dxa"/>
            <w:vAlign w:val="bottom"/>
          </w:tcPr>
          <w:p w:rsidR="00337904" w:rsidRPr="0048207A" w:rsidP="00337904" w14:paraId="6F96684D" w14:textId="1F123CEA">
            <w:pPr>
              <w:spacing w:line="480" w:lineRule="auto"/>
              <w:rPr>
                <w:color w:val="000000"/>
                <w:szCs w:val="24"/>
              </w:rPr>
            </w:pPr>
            <w:r w:rsidRPr="0048207A">
              <w:rPr>
                <w:color w:val="000000"/>
                <w:szCs w:val="24"/>
              </w:rPr>
              <w:t>292</w:t>
            </w:r>
          </w:p>
        </w:tc>
        <w:tc>
          <w:tcPr>
            <w:tcW w:w="1350" w:type="dxa"/>
            <w:vAlign w:val="bottom"/>
          </w:tcPr>
          <w:p w:rsidR="00337904" w:rsidRPr="0048207A" w:rsidP="00337904" w14:paraId="782C4EBA" w14:textId="19B79D60">
            <w:pPr>
              <w:spacing w:line="480" w:lineRule="auto"/>
              <w:rPr>
                <w:color w:val="000000"/>
                <w:szCs w:val="24"/>
              </w:rPr>
            </w:pPr>
            <w:r w:rsidRPr="0048207A">
              <w:rPr>
                <w:color w:val="000000"/>
                <w:szCs w:val="24"/>
              </w:rPr>
              <w:t>217</w:t>
            </w:r>
          </w:p>
        </w:tc>
        <w:tc>
          <w:tcPr>
            <w:tcW w:w="1350" w:type="dxa"/>
            <w:vAlign w:val="bottom"/>
          </w:tcPr>
          <w:p w:rsidR="00337904" w:rsidRPr="0048207A" w:rsidP="00337904" w14:paraId="56D5200B" w14:textId="341D2BFA">
            <w:pPr>
              <w:spacing w:line="480" w:lineRule="auto"/>
              <w:rPr>
                <w:color w:val="000000"/>
                <w:szCs w:val="24"/>
              </w:rPr>
            </w:pPr>
            <w:r w:rsidRPr="0048207A">
              <w:rPr>
                <w:color w:val="000000"/>
                <w:szCs w:val="24"/>
              </w:rPr>
              <w:t>134</w:t>
            </w:r>
          </w:p>
        </w:tc>
        <w:tc>
          <w:tcPr>
            <w:tcW w:w="1350" w:type="dxa"/>
            <w:vAlign w:val="bottom"/>
          </w:tcPr>
          <w:p w:rsidR="00337904" w:rsidRPr="0048207A" w:rsidP="00337904" w14:paraId="493B242E" w14:textId="5E2CEB93">
            <w:pPr>
              <w:spacing w:line="480" w:lineRule="auto"/>
              <w:rPr>
                <w:color w:val="000000"/>
                <w:szCs w:val="24"/>
              </w:rPr>
            </w:pPr>
            <w:r w:rsidRPr="0048207A">
              <w:rPr>
                <w:color w:val="000000"/>
                <w:szCs w:val="24"/>
              </w:rPr>
              <w:t>101</w:t>
            </w:r>
          </w:p>
        </w:tc>
        <w:tc>
          <w:tcPr>
            <w:tcW w:w="2430" w:type="dxa"/>
            <w:vAlign w:val="bottom"/>
          </w:tcPr>
          <w:p w:rsidR="00337904" w:rsidRPr="0048207A" w:rsidP="00337904" w14:paraId="7CE7DEE9" w14:textId="7C564F1C">
            <w:pPr>
              <w:spacing w:line="480" w:lineRule="auto"/>
              <w:rPr>
                <w:color w:val="000000"/>
                <w:szCs w:val="24"/>
              </w:rPr>
            </w:pPr>
            <w:r w:rsidRPr="0048207A">
              <w:rPr>
                <w:color w:val="000000"/>
                <w:szCs w:val="24"/>
              </w:rPr>
              <w:t>48</w:t>
            </w:r>
          </w:p>
        </w:tc>
      </w:tr>
      <w:tr w14:paraId="2A6A5652" w14:textId="77777777" w:rsidTr="00086CAD">
        <w:tblPrEx>
          <w:tblW w:w="9355" w:type="dxa"/>
          <w:tblLook w:val="04A0"/>
        </w:tblPrEx>
        <w:trPr>
          <w:trHeight w:val="94"/>
        </w:trPr>
        <w:tc>
          <w:tcPr>
            <w:tcW w:w="1345" w:type="dxa"/>
            <w:vAlign w:val="bottom"/>
          </w:tcPr>
          <w:p w:rsidR="00337904" w:rsidRPr="0048207A" w:rsidP="00337904" w14:paraId="17B8B2A3" w14:textId="11717BB6">
            <w:pPr>
              <w:spacing w:line="480" w:lineRule="auto"/>
              <w:rPr>
                <w:color w:val="000000"/>
                <w:szCs w:val="24"/>
              </w:rPr>
            </w:pPr>
            <w:r w:rsidRPr="0048207A">
              <w:rPr>
                <w:color w:val="000000"/>
                <w:szCs w:val="24"/>
              </w:rPr>
              <w:t>C1</w:t>
            </w:r>
            <w:r>
              <w:rPr>
                <w:color w:val="000000"/>
                <w:szCs w:val="24"/>
              </w:rPr>
              <w:t xml:space="preserve"> to </w:t>
            </w:r>
            <w:r w:rsidRPr="0048207A">
              <w:rPr>
                <w:color w:val="000000"/>
                <w:szCs w:val="24"/>
              </w:rPr>
              <w:t>C</w:t>
            </w:r>
          </w:p>
        </w:tc>
        <w:tc>
          <w:tcPr>
            <w:tcW w:w="1530" w:type="dxa"/>
            <w:vAlign w:val="bottom"/>
          </w:tcPr>
          <w:p w:rsidR="00337904" w:rsidRPr="0048207A" w:rsidP="00337904" w14:paraId="23A9D8B4" w14:textId="48D46F11">
            <w:pPr>
              <w:spacing w:line="480" w:lineRule="auto"/>
              <w:rPr>
                <w:color w:val="000000"/>
                <w:szCs w:val="24"/>
              </w:rPr>
            </w:pPr>
            <w:r w:rsidRPr="0048207A">
              <w:rPr>
                <w:color w:val="000000"/>
                <w:szCs w:val="24"/>
              </w:rPr>
              <w:t>302</w:t>
            </w:r>
          </w:p>
        </w:tc>
        <w:tc>
          <w:tcPr>
            <w:tcW w:w="1350" w:type="dxa"/>
            <w:vAlign w:val="bottom"/>
          </w:tcPr>
          <w:p w:rsidR="00337904" w:rsidRPr="0048207A" w:rsidP="00337904" w14:paraId="45EB41CA" w14:textId="18B5A7DC">
            <w:pPr>
              <w:spacing w:line="480" w:lineRule="auto"/>
              <w:rPr>
                <w:color w:val="000000"/>
                <w:szCs w:val="24"/>
              </w:rPr>
            </w:pPr>
            <w:r w:rsidRPr="0048207A">
              <w:rPr>
                <w:color w:val="000000"/>
                <w:szCs w:val="24"/>
              </w:rPr>
              <w:t>230</w:t>
            </w:r>
          </w:p>
        </w:tc>
        <w:tc>
          <w:tcPr>
            <w:tcW w:w="1350" w:type="dxa"/>
            <w:vAlign w:val="bottom"/>
          </w:tcPr>
          <w:p w:rsidR="00337904" w:rsidRPr="0048207A" w:rsidP="00337904" w14:paraId="6D47B866" w14:textId="0BF55DBE">
            <w:pPr>
              <w:spacing w:line="480" w:lineRule="auto"/>
              <w:rPr>
                <w:color w:val="000000"/>
                <w:szCs w:val="24"/>
              </w:rPr>
            </w:pPr>
            <w:r w:rsidRPr="0048207A">
              <w:rPr>
                <w:color w:val="000000"/>
                <w:szCs w:val="24"/>
              </w:rPr>
              <w:t>144</w:t>
            </w:r>
          </w:p>
        </w:tc>
        <w:tc>
          <w:tcPr>
            <w:tcW w:w="1350" w:type="dxa"/>
            <w:vAlign w:val="bottom"/>
          </w:tcPr>
          <w:p w:rsidR="00337904" w:rsidRPr="0048207A" w:rsidP="00337904" w14:paraId="737A0EF9" w14:textId="5F1A0C0D">
            <w:pPr>
              <w:spacing w:line="480" w:lineRule="auto"/>
              <w:rPr>
                <w:color w:val="000000"/>
                <w:szCs w:val="24"/>
              </w:rPr>
            </w:pPr>
            <w:r w:rsidRPr="0048207A">
              <w:rPr>
                <w:color w:val="000000"/>
                <w:szCs w:val="24"/>
              </w:rPr>
              <w:t>111</w:t>
            </w:r>
          </w:p>
        </w:tc>
        <w:tc>
          <w:tcPr>
            <w:tcW w:w="2430" w:type="dxa"/>
            <w:vAlign w:val="bottom"/>
          </w:tcPr>
          <w:p w:rsidR="00337904" w:rsidRPr="0048207A" w:rsidP="00337904" w14:paraId="2C9D5248" w14:textId="054D3A40">
            <w:pPr>
              <w:spacing w:line="480" w:lineRule="auto"/>
              <w:rPr>
                <w:color w:val="000000"/>
                <w:szCs w:val="24"/>
              </w:rPr>
            </w:pPr>
            <w:r w:rsidRPr="0048207A">
              <w:rPr>
                <w:color w:val="000000"/>
                <w:szCs w:val="24"/>
              </w:rPr>
              <w:t>48</w:t>
            </w:r>
          </w:p>
        </w:tc>
      </w:tr>
      <w:tr w14:paraId="495CEAC6" w14:textId="77777777" w:rsidTr="00086CAD">
        <w:tblPrEx>
          <w:tblW w:w="9355" w:type="dxa"/>
          <w:tblLook w:val="04A0"/>
        </w:tblPrEx>
        <w:trPr>
          <w:trHeight w:val="94"/>
        </w:trPr>
        <w:tc>
          <w:tcPr>
            <w:tcW w:w="1345" w:type="dxa"/>
            <w:vAlign w:val="bottom"/>
          </w:tcPr>
          <w:p w:rsidR="00337904" w:rsidRPr="0048207A" w:rsidP="00337904" w14:paraId="7DE4BB89" w14:textId="15F040DC">
            <w:pPr>
              <w:spacing w:line="480" w:lineRule="auto"/>
              <w:rPr>
                <w:color w:val="000000"/>
                <w:szCs w:val="24"/>
              </w:rPr>
            </w:pPr>
            <w:r w:rsidRPr="0048207A">
              <w:rPr>
                <w:color w:val="000000"/>
                <w:szCs w:val="24"/>
              </w:rPr>
              <w:t>C</w:t>
            </w:r>
            <w:r>
              <w:rPr>
                <w:color w:val="000000"/>
                <w:szCs w:val="24"/>
              </w:rPr>
              <w:t xml:space="preserve"> to </w:t>
            </w:r>
            <w:r w:rsidRPr="0048207A">
              <w:rPr>
                <w:color w:val="000000"/>
                <w:szCs w:val="24"/>
              </w:rPr>
              <w:t>C</w:t>
            </w:r>
          </w:p>
        </w:tc>
        <w:tc>
          <w:tcPr>
            <w:tcW w:w="1530" w:type="dxa"/>
            <w:vAlign w:val="bottom"/>
          </w:tcPr>
          <w:p w:rsidR="00337904" w:rsidRPr="0048207A" w:rsidP="00337904" w14:paraId="4AFB60A5" w14:textId="3E661694">
            <w:pPr>
              <w:spacing w:line="480" w:lineRule="auto"/>
              <w:rPr>
                <w:color w:val="000000"/>
                <w:szCs w:val="24"/>
              </w:rPr>
            </w:pPr>
            <w:r w:rsidRPr="0048207A">
              <w:rPr>
                <w:color w:val="000000"/>
                <w:szCs w:val="24"/>
              </w:rPr>
              <w:t>306</w:t>
            </w:r>
          </w:p>
        </w:tc>
        <w:tc>
          <w:tcPr>
            <w:tcW w:w="1350" w:type="dxa"/>
            <w:vAlign w:val="bottom"/>
          </w:tcPr>
          <w:p w:rsidR="00337904" w:rsidRPr="0048207A" w:rsidP="00337904" w14:paraId="28B766BF" w14:textId="6D7D0467">
            <w:pPr>
              <w:spacing w:line="480" w:lineRule="auto"/>
              <w:rPr>
                <w:color w:val="000000"/>
                <w:szCs w:val="24"/>
              </w:rPr>
            </w:pPr>
            <w:r w:rsidRPr="0048207A">
              <w:rPr>
                <w:color w:val="000000"/>
                <w:szCs w:val="24"/>
              </w:rPr>
              <w:t>241</w:t>
            </w:r>
          </w:p>
        </w:tc>
        <w:tc>
          <w:tcPr>
            <w:tcW w:w="1350" w:type="dxa"/>
            <w:vAlign w:val="bottom"/>
          </w:tcPr>
          <w:p w:rsidR="00337904" w:rsidRPr="0048207A" w:rsidP="00337904" w14:paraId="1EED67D5" w14:textId="701EDF0C">
            <w:pPr>
              <w:spacing w:line="480" w:lineRule="auto"/>
              <w:rPr>
                <w:color w:val="000000"/>
                <w:szCs w:val="24"/>
              </w:rPr>
            </w:pPr>
            <w:r w:rsidRPr="0048207A">
              <w:rPr>
                <w:color w:val="000000"/>
                <w:szCs w:val="24"/>
              </w:rPr>
              <w:t>153</w:t>
            </w:r>
          </w:p>
        </w:tc>
        <w:tc>
          <w:tcPr>
            <w:tcW w:w="1350" w:type="dxa"/>
            <w:vAlign w:val="bottom"/>
          </w:tcPr>
          <w:p w:rsidR="00337904" w:rsidRPr="0048207A" w:rsidP="00337904" w14:paraId="14B523EF" w14:textId="6B5FC478">
            <w:pPr>
              <w:spacing w:line="480" w:lineRule="auto"/>
              <w:rPr>
                <w:color w:val="000000"/>
                <w:szCs w:val="24"/>
              </w:rPr>
            </w:pPr>
            <w:r w:rsidRPr="0048207A">
              <w:rPr>
                <w:color w:val="000000"/>
                <w:szCs w:val="24"/>
              </w:rPr>
              <w:t>113</w:t>
            </w:r>
          </w:p>
        </w:tc>
        <w:tc>
          <w:tcPr>
            <w:tcW w:w="2430" w:type="dxa"/>
            <w:vAlign w:val="bottom"/>
          </w:tcPr>
          <w:p w:rsidR="00337904" w:rsidRPr="0048207A" w:rsidP="00337904" w14:paraId="04303B3B" w14:textId="54012C33">
            <w:pPr>
              <w:spacing w:line="480" w:lineRule="auto"/>
              <w:rPr>
                <w:color w:val="000000"/>
                <w:szCs w:val="24"/>
              </w:rPr>
            </w:pPr>
            <w:r w:rsidRPr="0048207A">
              <w:rPr>
                <w:color w:val="000000"/>
                <w:szCs w:val="24"/>
              </w:rPr>
              <w:t>48</w:t>
            </w:r>
          </w:p>
        </w:tc>
      </w:tr>
    </w:tbl>
    <w:p w:rsidR="001A1849" w:rsidRPr="0048207A" w:rsidP="001A1849" w14:paraId="08B3340F" w14:textId="77777777">
      <w:pPr>
        <w:spacing w:line="480" w:lineRule="auto"/>
        <w:rPr>
          <w:szCs w:val="24"/>
        </w:rPr>
      </w:pPr>
      <w:bookmarkStart w:id="34" w:name="_Hlk74218606"/>
    </w:p>
    <w:p w:rsidR="001A1849" w:rsidP="001A1849" w14:paraId="5DE0CDC8" w14:textId="646FAF3B">
      <w:pPr>
        <w:spacing w:line="480" w:lineRule="auto"/>
        <w:rPr>
          <w:szCs w:val="24"/>
        </w:rPr>
      </w:pPr>
      <w:r w:rsidRPr="0048207A">
        <w:rPr>
          <w:szCs w:val="24"/>
        </w:rPr>
        <w:t xml:space="preserve">(3)  </w:t>
      </w:r>
      <w:r w:rsidR="00120A08">
        <w:rPr>
          <w:i/>
          <w:iCs/>
          <w:szCs w:val="24"/>
        </w:rPr>
        <w:t xml:space="preserve">Mexican border distance separation.  </w:t>
      </w:r>
      <w:r w:rsidR="00696668">
        <w:rPr>
          <w:szCs w:val="24"/>
        </w:rPr>
        <w:t>Under</w:t>
      </w:r>
      <w:r w:rsidRPr="0048207A">
        <w:rPr>
          <w:szCs w:val="24"/>
        </w:rPr>
        <w:t xml:space="preserve"> the 1992 United State</w:t>
      </w:r>
      <w:r w:rsidR="00846649">
        <w:rPr>
          <w:szCs w:val="24"/>
        </w:rPr>
        <w:t xml:space="preserve">s – </w:t>
      </w:r>
      <w:r w:rsidRPr="0048207A">
        <w:rPr>
          <w:szCs w:val="24"/>
        </w:rPr>
        <w:t xml:space="preserve">Mexico FM Broadcasting Agreement, any domestic U.S. assignment or allotment within 320 kilometers (199 miles) of the common </w:t>
      </w:r>
      <w:r w:rsidRPr="0048207A">
        <w:rPr>
          <w:szCs w:val="24"/>
        </w:rPr>
        <w:t xml:space="preserve">border must </w:t>
      </w:r>
      <w:r w:rsidR="00696668">
        <w:rPr>
          <w:szCs w:val="24"/>
        </w:rPr>
        <w:t xml:space="preserve">either satisfy the contour overlap provisions set out in </w:t>
      </w:r>
      <w:r w:rsidR="00B364F3">
        <w:rPr>
          <w:szCs w:val="24"/>
        </w:rPr>
        <w:t>section 7.3</w:t>
      </w:r>
      <w:r w:rsidR="009D0056">
        <w:rPr>
          <w:szCs w:val="24"/>
        </w:rPr>
        <w:t xml:space="preserve"> of</w:t>
      </w:r>
      <w:r w:rsidR="00B364F3">
        <w:rPr>
          <w:szCs w:val="24"/>
        </w:rPr>
        <w:t xml:space="preserve"> </w:t>
      </w:r>
      <w:r w:rsidR="00696668">
        <w:rPr>
          <w:szCs w:val="24"/>
        </w:rPr>
        <w:t xml:space="preserve">the Agreement or </w:t>
      </w:r>
      <w:r w:rsidRPr="0048207A">
        <w:rPr>
          <w:szCs w:val="24"/>
        </w:rPr>
        <w:t xml:space="preserve">be separated from Mexican assignments or allotments by not less than the distances given in </w:t>
      </w:r>
      <w:r w:rsidR="00454F76">
        <w:rPr>
          <w:szCs w:val="24"/>
        </w:rPr>
        <w:t>Table 3</w:t>
      </w:r>
      <w:r w:rsidRPr="0048207A">
        <w:rPr>
          <w:szCs w:val="24"/>
        </w:rPr>
        <w:t xml:space="preserve"> </w:t>
      </w:r>
      <w:r w:rsidR="00120A08">
        <w:rPr>
          <w:szCs w:val="24"/>
        </w:rPr>
        <w:t>to</w:t>
      </w:r>
      <w:r w:rsidRPr="0048207A">
        <w:rPr>
          <w:szCs w:val="24"/>
        </w:rPr>
        <w:t xml:space="preserve"> this paragraph (b)</w:t>
      </w:r>
      <w:r w:rsidR="009D0056">
        <w:rPr>
          <w:szCs w:val="24"/>
        </w:rPr>
        <w:t>, using the distance calculation methodology set out in the Agreement</w:t>
      </w:r>
      <w:r w:rsidRPr="0048207A">
        <w:rPr>
          <w:szCs w:val="24"/>
        </w:rPr>
        <w:t xml:space="preserve">.  </w:t>
      </w:r>
      <w:r w:rsidR="00086CAD">
        <w:rPr>
          <w:szCs w:val="24"/>
        </w:rPr>
        <w:t>The</w:t>
      </w:r>
      <w:r w:rsidRPr="0048207A">
        <w:rPr>
          <w:szCs w:val="24"/>
        </w:rPr>
        <w:t xml:space="preserve"> </w:t>
      </w:r>
      <w:r w:rsidR="00D810BC">
        <w:rPr>
          <w:szCs w:val="24"/>
        </w:rPr>
        <w:t xml:space="preserve">minimum required distance separation between </w:t>
      </w:r>
      <w:r w:rsidRPr="0048207A">
        <w:rPr>
          <w:szCs w:val="24"/>
        </w:rPr>
        <w:t xml:space="preserve">I.F. </w:t>
      </w:r>
      <w:r w:rsidR="00D810BC">
        <w:rPr>
          <w:szCs w:val="24"/>
        </w:rPr>
        <w:t>allotments and assignments cannot be reduced.</w:t>
      </w:r>
      <w:r w:rsidRPr="0048207A">
        <w:rPr>
          <w:szCs w:val="24"/>
        </w:rPr>
        <w:t xml:space="preserve"> When applying </w:t>
      </w:r>
      <w:r w:rsidR="00454F76">
        <w:rPr>
          <w:szCs w:val="24"/>
        </w:rPr>
        <w:t>Table 3</w:t>
      </w:r>
      <w:r w:rsidRPr="0048207A">
        <w:rPr>
          <w:szCs w:val="24"/>
        </w:rPr>
        <w:t>—</w:t>
      </w:r>
      <w:bookmarkEnd w:id="34"/>
    </w:p>
    <w:p w:rsidR="001A1849" w:rsidRPr="00E473B1" w:rsidP="001A1849" w14:paraId="1443638D" w14:textId="3614231A">
      <w:pPr>
        <w:spacing w:line="480" w:lineRule="auto"/>
        <w:rPr>
          <w:b/>
          <w:bCs/>
          <w:szCs w:val="24"/>
        </w:rPr>
      </w:pPr>
      <w:r w:rsidRPr="00E473B1">
        <w:rPr>
          <w:b/>
          <w:bCs/>
          <w:szCs w:val="24"/>
        </w:rPr>
        <w:t>* * * * *</w:t>
      </w:r>
    </w:p>
    <w:p w:rsidR="00921B77" w:rsidP="001A1849" w14:paraId="3D9360A1" w14:textId="66394AAF">
      <w:pPr>
        <w:spacing w:line="480" w:lineRule="auto"/>
        <w:rPr>
          <w:szCs w:val="24"/>
        </w:rPr>
      </w:pPr>
      <w:r>
        <w:rPr>
          <w:szCs w:val="24"/>
        </w:rPr>
        <w:t xml:space="preserve">(iv) </w:t>
      </w:r>
      <w:r w:rsidRPr="00921B77">
        <w:t xml:space="preserve"> </w:t>
      </w:r>
      <w:r w:rsidRPr="00921B77">
        <w:rPr>
          <w:szCs w:val="24"/>
        </w:rPr>
        <w:t>U.S. Class C2 assignments or allotments are considered Class B;</w:t>
      </w:r>
    </w:p>
    <w:p w:rsidR="00921B77" w:rsidP="001A1849" w14:paraId="0C584FFA" w14:textId="47355BE9">
      <w:pPr>
        <w:spacing w:line="480" w:lineRule="auto"/>
        <w:rPr>
          <w:szCs w:val="24"/>
        </w:rPr>
      </w:pPr>
      <w:r>
        <w:rPr>
          <w:szCs w:val="24"/>
        </w:rPr>
        <w:t xml:space="preserve">(v)  </w:t>
      </w:r>
      <w:r w:rsidRPr="00921B77">
        <w:rPr>
          <w:szCs w:val="24"/>
        </w:rPr>
        <w:t>Class C1 assignments or allotments assume maximum facilities of 100 kW ERP at 300 meters HAAT. However, U.S. Class C1 stations may not, in any event, exceed the domestic U.S. limit of 100 kW ERP at 299 meters HAAT, or the equivalent</w:t>
      </w:r>
      <w:r>
        <w:rPr>
          <w:szCs w:val="24"/>
        </w:rPr>
        <w:t>; and</w:t>
      </w:r>
    </w:p>
    <w:p w:rsidR="00921B77" w:rsidP="001A1849" w14:paraId="3C01DDFB" w14:textId="46259AF5">
      <w:pPr>
        <w:spacing w:line="480" w:lineRule="auto"/>
        <w:rPr>
          <w:szCs w:val="24"/>
        </w:rPr>
      </w:pPr>
      <w:r>
        <w:rPr>
          <w:szCs w:val="24"/>
        </w:rPr>
        <w:t>(vi)  U.S. Class C0 assignments or allotments are considered Class C.</w:t>
      </w:r>
    </w:p>
    <w:tbl>
      <w:tblPr>
        <w:tblStyle w:val="TableGrid"/>
        <w:tblW w:w="9355" w:type="dxa"/>
        <w:tblLook w:val="04A0"/>
      </w:tblPr>
      <w:tblGrid>
        <w:gridCol w:w="1841"/>
        <w:gridCol w:w="1841"/>
        <w:gridCol w:w="1623"/>
        <w:gridCol w:w="1890"/>
        <w:gridCol w:w="2160"/>
      </w:tblGrid>
      <w:tr w14:paraId="01942AE7" w14:textId="77777777" w:rsidTr="00531D23">
        <w:tblPrEx>
          <w:tblW w:w="9355" w:type="dxa"/>
          <w:tblLook w:val="04A0"/>
        </w:tblPrEx>
        <w:trPr>
          <w:trHeight w:val="94"/>
        </w:trPr>
        <w:tc>
          <w:tcPr>
            <w:tcW w:w="9355" w:type="dxa"/>
            <w:gridSpan w:val="5"/>
          </w:tcPr>
          <w:p w:rsidR="00120A08" w:rsidP="00531D23" w14:paraId="57520B9B" w14:textId="13108E83">
            <w:pPr>
              <w:spacing w:line="480" w:lineRule="auto"/>
              <w:rPr>
                <w:szCs w:val="24"/>
              </w:rPr>
            </w:pPr>
            <w:r>
              <w:rPr>
                <w:b/>
                <w:bCs/>
                <w:szCs w:val="24"/>
              </w:rPr>
              <w:t>Table 3</w:t>
            </w:r>
            <w:r w:rsidRPr="004414F9">
              <w:rPr>
                <w:b/>
                <w:bCs/>
                <w:szCs w:val="24"/>
              </w:rPr>
              <w:t xml:space="preserve"> to </w:t>
            </w:r>
            <w:r w:rsidR="002745AA">
              <w:rPr>
                <w:b/>
                <w:bCs/>
                <w:szCs w:val="24"/>
              </w:rPr>
              <w:t>p</w:t>
            </w:r>
            <w:r w:rsidRPr="004414F9">
              <w:rPr>
                <w:b/>
                <w:bCs/>
                <w:szCs w:val="24"/>
              </w:rPr>
              <w:t>aragraph (b)—</w:t>
            </w:r>
            <w:r w:rsidRPr="0048207A">
              <w:rPr>
                <w:b/>
                <w:bCs/>
                <w:szCs w:val="24"/>
              </w:rPr>
              <w:t xml:space="preserve">Minimum Distance Separation Requirements </w:t>
            </w:r>
            <w:r>
              <w:rPr>
                <w:b/>
                <w:bCs/>
                <w:szCs w:val="24"/>
              </w:rPr>
              <w:t>i</w:t>
            </w:r>
            <w:r w:rsidRPr="0048207A">
              <w:rPr>
                <w:b/>
                <w:bCs/>
                <w:szCs w:val="24"/>
              </w:rPr>
              <w:t>n Kilometers</w:t>
            </w:r>
            <w:r>
              <w:rPr>
                <w:b/>
                <w:bCs/>
                <w:szCs w:val="24"/>
              </w:rPr>
              <w:t xml:space="preserve"> (Mexico)</w:t>
            </w:r>
          </w:p>
        </w:tc>
      </w:tr>
      <w:tr w14:paraId="25F36DE2" w14:textId="77777777" w:rsidTr="00086CAD">
        <w:tblPrEx>
          <w:tblW w:w="9355" w:type="dxa"/>
          <w:tblLook w:val="04A0"/>
        </w:tblPrEx>
        <w:trPr>
          <w:trHeight w:val="94"/>
        </w:trPr>
        <w:tc>
          <w:tcPr>
            <w:tcW w:w="1841" w:type="dxa"/>
          </w:tcPr>
          <w:p w:rsidR="00120A08" w:rsidP="00531D23" w14:paraId="2C3EA17B" w14:textId="77777777">
            <w:pPr>
              <w:spacing w:line="480" w:lineRule="auto"/>
              <w:jc w:val="center"/>
              <w:rPr>
                <w:szCs w:val="24"/>
              </w:rPr>
            </w:pPr>
            <w:r w:rsidRPr="0048207A">
              <w:rPr>
                <w:color w:val="000000"/>
                <w:szCs w:val="24"/>
              </w:rPr>
              <w:t>Relation</w:t>
            </w:r>
          </w:p>
        </w:tc>
        <w:tc>
          <w:tcPr>
            <w:tcW w:w="1841" w:type="dxa"/>
          </w:tcPr>
          <w:p w:rsidR="00120A08" w:rsidP="00531D23" w14:paraId="79C5C30C" w14:textId="77777777">
            <w:pPr>
              <w:spacing w:line="480" w:lineRule="auto"/>
              <w:jc w:val="center"/>
              <w:rPr>
                <w:szCs w:val="24"/>
              </w:rPr>
            </w:pPr>
            <w:r>
              <w:rPr>
                <w:color w:val="000000"/>
                <w:szCs w:val="24"/>
              </w:rPr>
              <w:t>Co-Channel</w:t>
            </w:r>
          </w:p>
        </w:tc>
        <w:tc>
          <w:tcPr>
            <w:tcW w:w="1623" w:type="dxa"/>
          </w:tcPr>
          <w:p w:rsidR="00120A08" w:rsidP="00531D23" w14:paraId="32D8A71F" w14:textId="77777777">
            <w:pPr>
              <w:spacing w:line="480" w:lineRule="auto"/>
              <w:jc w:val="center"/>
              <w:rPr>
                <w:szCs w:val="24"/>
              </w:rPr>
            </w:pPr>
            <w:r w:rsidRPr="0048207A">
              <w:rPr>
                <w:color w:val="000000"/>
                <w:szCs w:val="24"/>
              </w:rPr>
              <w:t>200 kHz</w:t>
            </w:r>
          </w:p>
        </w:tc>
        <w:tc>
          <w:tcPr>
            <w:tcW w:w="1890" w:type="dxa"/>
          </w:tcPr>
          <w:p w:rsidR="00120A08" w:rsidP="00531D23" w14:paraId="3C9026F4" w14:textId="77777777">
            <w:pPr>
              <w:spacing w:line="480" w:lineRule="auto"/>
              <w:jc w:val="center"/>
              <w:rPr>
                <w:szCs w:val="24"/>
              </w:rPr>
            </w:pPr>
            <w:r w:rsidRPr="0048207A">
              <w:rPr>
                <w:color w:val="000000"/>
                <w:szCs w:val="24"/>
              </w:rPr>
              <w:t>400</w:t>
            </w:r>
            <w:r>
              <w:rPr>
                <w:color w:val="000000"/>
                <w:szCs w:val="24"/>
              </w:rPr>
              <w:t>/600</w:t>
            </w:r>
            <w:r w:rsidRPr="0048207A">
              <w:rPr>
                <w:color w:val="000000"/>
                <w:szCs w:val="24"/>
              </w:rPr>
              <w:t xml:space="preserve"> kHz</w:t>
            </w:r>
          </w:p>
        </w:tc>
        <w:tc>
          <w:tcPr>
            <w:tcW w:w="2160" w:type="dxa"/>
          </w:tcPr>
          <w:p w:rsidR="00120A08" w:rsidP="00531D23" w14:paraId="01333E8E" w14:textId="425CF3A3">
            <w:pPr>
              <w:spacing w:line="480" w:lineRule="auto"/>
              <w:jc w:val="center"/>
              <w:rPr>
                <w:szCs w:val="24"/>
              </w:rPr>
            </w:pPr>
            <w:r w:rsidRPr="0048207A">
              <w:rPr>
                <w:color w:val="000000"/>
                <w:szCs w:val="24"/>
              </w:rPr>
              <w:t>10.6/10.8 MHz</w:t>
            </w:r>
            <w:r w:rsidR="00086CAD">
              <w:rPr>
                <w:color w:val="000000"/>
                <w:szCs w:val="24"/>
              </w:rPr>
              <w:t xml:space="preserve"> (I.F.)</w:t>
            </w:r>
          </w:p>
        </w:tc>
      </w:tr>
      <w:tr w14:paraId="3CD3D9EE" w14:textId="77777777" w:rsidTr="00531D23">
        <w:tblPrEx>
          <w:tblW w:w="9355" w:type="dxa"/>
          <w:tblLook w:val="04A0"/>
        </w:tblPrEx>
        <w:trPr>
          <w:trHeight w:val="581"/>
        </w:trPr>
        <w:tc>
          <w:tcPr>
            <w:tcW w:w="9355" w:type="dxa"/>
            <w:gridSpan w:val="5"/>
          </w:tcPr>
          <w:p w:rsidR="00120A08" w:rsidRPr="00E473B1" w:rsidP="00531D23" w14:paraId="06CB3599" w14:textId="77777777">
            <w:pPr>
              <w:spacing w:line="480" w:lineRule="auto"/>
              <w:ind w:left="720"/>
              <w:jc w:val="center"/>
              <w:rPr>
                <w:b/>
                <w:bCs/>
                <w:szCs w:val="24"/>
              </w:rPr>
            </w:pPr>
            <w:r w:rsidRPr="00E473B1">
              <w:rPr>
                <w:b/>
                <w:bCs/>
                <w:szCs w:val="24"/>
              </w:rPr>
              <w:t>* * * * * * *</w:t>
            </w:r>
          </w:p>
        </w:tc>
      </w:tr>
    </w:tbl>
    <w:p w:rsidR="00120A08" w:rsidP="001A1849" w14:paraId="373DC241" w14:textId="661DB76B">
      <w:pPr>
        <w:spacing w:line="480" w:lineRule="auto"/>
        <w:rPr>
          <w:szCs w:val="24"/>
        </w:rPr>
      </w:pPr>
    </w:p>
    <w:p w:rsidR="00F7295C" w:rsidRPr="00F7295C" w:rsidP="00F7295C" w14:paraId="1D1280EE" w14:textId="40128C66">
      <w:pPr>
        <w:spacing w:line="480" w:lineRule="auto"/>
        <w:rPr>
          <w:szCs w:val="24"/>
        </w:rPr>
      </w:pPr>
      <w:r>
        <w:rPr>
          <w:szCs w:val="24"/>
        </w:rPr>
        <w:t>*****</w:t>
      </w:r>
    </w:p>
    <w:p w:rsidR="001A1849" w:rsidRPr="0048207A" w:rsidP="001A1849" w14:paraId="784ECF4B" w14:textId="4E6AC649">
      <w:pPr>
        <w:numPr>
          <w:ilvl w:val="0"/>
          <w:numId w:val="8"/>
        </w:numPr>
        <w:spacing w:line="480" w:lineRule="auto"/>
        <w:ind w:left="0" w:firstLine="360"/>
        <w:rPr>
          <w:szCs w:val="24"/>
        </w:rPr>
      </w:pPr>
      <w:r w:rsidRPr="0048207A">
        <w:rPr>
          <w:szCs w:val="24"/>
        </w:rPr>
        <w:t xml:space="preserve">Amend § 73.316 </w:t>
      </w:r>
      <w:r>
        <w:rPr>
          <w:szCs w:val="24"/>
        </w:rPr>
        <w:t>by</w:t>
      </w:r>
      <w:r w:rsidRPr="0048207A">
        <w:rPr>
          <w:szCs w:val="24"/>
        </w:rPr>
        <w:t xml:space="preserve"> revis</w:t>
      </w:r>
      <w:r>
        <w:rPr>
          <w:szCs w:val="24"/>
        </w:rPr>
        <w:t>ing</w:t>
      </w:r>
      <w:r w:rsidRPr="0048207A">
        <w:rPr>
          <w:szCs w:val="24"/>
        </w:rPr>
        <w:t xml:space="preserve"> the second sentence of (c)(2)(ix)(B)</w:t>
      </w:r>
      <w:r>
        <w:rPr>
          <w:szCs w:val="24"/>
        </w:rPr>
        <w:t xml:space="preserve"> </w:t>
      </w:r>
      <w:r w:rsidR="00403E54">
        <w:rPr>
          <w:szCs w:val="24"/>
        </w:rPr>
        <w:t xml:space="preserve">and paragraph (d) </w:t>
      </w:r>
      <w:r w:rsidRPr="0048207A">
        <w:rPr>
          <w:szCs w:val="24"/>
        </w:rPr>
        <w:t>to read as follows:</w:t>
      </w:r>
    </w:p>
    <w:p w:rsidR="001A1849" w:rsidRPr="00135D00" w:rsidP="001A1849" w14:paraId="02735D7F" w14:textId="77777777">
      <w:pPr>
        <w:spacing w:line="480" w:lineRule="auto"/>
        <w:rPr>
          <w:b/>
          <w:bCs/>
          <w:szCs w:val="24"/>
        </w:rPr>
      </w:pPr>
      <w:r w:rsidRPr="00135D00">
        <w:rPr>
          <w:b/>
          <w:bCs/>
          <w:szCs w:val="24"/>
        </w:rPr>
        <w:t>§ 73.316 FM antenna systems.</w:t>
      </w:r>
    </w:p>
    <w:p w:rsidR="001A1849" w:rsidRPr="00135D00" w:rsidP="001A1849" w14:paraId="1ED67E52" w14:textId="77777777">
      <w:pPr>
        <w:spacing w:line="480" w:lineRule="auto"/>
        <w:rPr>
          <w:b/>
          <w:bCs/>
          <w:szCs w:val="24"/>
        </w:rPr>
      </w:pPr>
      <w:r w:rsidRPr="00135D00">
        <w:rPr>
          <w:b/>
          <w:bCs/>
          <w:szCs w:val="24"/>
        </w:rPr>
        <w:t>* * * * *</w:t>
      </w:r>
    </w:p>
    <w:p w:rsidR="001A1849" w:rsidRPr="00135D00" w:rsidP="001A1849" w14:paraId="25B8D793" w14:textId="77777777">
      <w:pPr>
        <w:spacing w:line="480" w:lineRule="auto"/>
        <w:rPr>
          <w:szCs w:val="24"/>
        </w:rPr>
      </w:pPr>
      <w:r w:rsidRPr="00135D00">
        <w:rPr>
          <w:szCs w:val="24"/>
        </w:rPr>
        <w:t xml:space="preserve">(c) </w:t>
      </w:r>
      <w:r w:rsidRPr="00135D00">
        <w:rPr>
          <w:b/>
          <w:bCs/>
          <w:szCs w:val="24"/>
        </w:rPr>
        <w:t>* * *</w:t>
      </w:r>
    </w:p>
    <w:p w:rsidR="001A1849" w:rsidRPr="00135D00" w:rsidP="001A1849" w14:paraId="3F32ED55" w14:textId="77777777">
      <w:pPr>
        <w:spacing w:line="480" w:lineRule="auto"/>
        <w:rPr>
          <w:szCs w:val="24"/>
        </w:rPr>
      </w:pPr>
      <w:r w:rsidRPr="00135D00">
        <w:rPr>
          <w:szCs w:val="24"/>
        </w:rPr>
        <w:t xml:space="preserve">(2) </w:t>
      </w:r>
      <w:r w:rsidRPr="00135D00">
        <w:rPr>
          <w:b/>
          <w:bCs/>
          <w:szCs w:val="24"/>
        </w:rPr>
        <w:t>* * *</w:t>
      </w:r>
    </w:p>
    <w:p w:rsidR="001A1849" w:rsidRPr="00135D00" w:rsidP="001A1849" w14:paraId="1FC7A1EF" w14:textId="77777777">
      <w:pPr>
        <w:spacing w:line="480" w:lineRule="auto"/>
        <w:rPr>
          <w:szCs w:val="24"/>
        </w:rPr>
      </w:pPr>
      <w:r w:rsidRPr="00135D00">
        <w:rPr>
          <w:szCs w:val="24"/>
        </w:rPr>
        <w:t xml:space="preserve">(ix) </w:t>
      </w:r>
      <w:r w:rsidRPr="00135D00">
        <w:rPr>
          <w:b/>
          <w:bCs/>
          <w:szCs w:val="24"/>
        </w:rPr>
        <w:t>* * *</w:t>
      </w:r>
    </w:p>
    <w:p w:rsidR="001A1849" w:rsidP="001A1849" w14:paraId="489C0F50" w14:textId="7C6E1C98">
      <w:pPr>
        <w:spacing w:line="480" w:lineRule="auto"/>
        <w:rPr>
          <w:szCs w:val="24"/>
        </w:rPr>
      </w:pPr>
      <w:r w:rsidRPr="0048207A">
        <w:rPr>
          <w:szCs w:val="24"/>
        </w:rPr>
        <w:t xml:space="preserve">(B) </w:t>
      </w:r>
      <w:r w:rsidRPr="00E473B1">
        <w:rPr>
          <w:b/>
          <w:bCs/>
          <w:szCs w:val="24"/>
        </w:rPr>
        <w:t>* * *</w:t>
      </w:r>
      <w:r w:rsidRPr="0048207A">
        <w:rPr>
          <w:szCs w:val="24"/>
        </w:rPr>
        <w:t xml:space="preserve"> The application for license must also demonstrate that coverage of the community of license by the 70 dBu contour is maintained for stations authorized pursuant to § 73.215 on Channels 221 through 300, as required by § 73.315(a), while noncommercial educational stations operating on Channels 201 </w:t>
      </w:r>
      <w:r w:rsidRPr="0048207A">
        <w:rPr>
          <w:szCs w:val="24"/>
        </w:rPr>
        <w:t>through 220 must show that the proposed transmitter location will provide a minimum field strength of 1 mV/m (60 dBu) over at least 50 percent of its community of license or reach 50 percent of the population within the community.</w:t>
      </w:r>
    </w:p>
    <w:p w:rsidR="00403E54" w:rsidRPr="0048207A" w:rsidP="001A1849" w14:paraId="274BFE8C" w14:textId="3881EA91">
      <w:pPr>
        <w:spacing w:line="480" w:lineRule="auto"/>
        <w:rPr>
          <w:szCs w:val="24"/>
        </w:rPr>
      </w:pPr>
      <w:r>
        <w:rPr>
          <w:szCs w:val="24"/>
        </w:rPr>
        <w:t xml:space="preserve">(d) </w:t>
      </w:r>
      <w:r w:rsidRPr="00403E54">
        <w:rPr>
          <w:szCs w:val="24"/>
        </w:rPr>
        <w:t xml:space="preserve">Applications proposing the use of FM transmitting antennas in the immediate vicinity (i.e. 60 meters or less) of other FM or TV broadcast antennas must include a showing as to the expected effect, if any, of such </w:t>
      </w:r>
      <w:r>
        <w:rPr>
          <w:szCs w:val="24"/>
        </w:rPr>
        <w:t>proximate</w:t>
      </w:r>
      <w:r w:rsidRPr="00403E54">
        <w:rPr>
          <w:szCs w:val="24"/>
        </w:rPr>
        <w:t xml:space="preserve"> operation</w:t>
      </w:r>
      <w:r w:rsidR="00C83C12">
        <w:rPr>
          <w:szCs w:val="24"/>
        </w:rPr>
        <w:t>.</w:t>
      </w:r>
    </w:p>
    <w:p w:rsidR="001A1849" w:rsidP="001A1849" w14:paraId="26044076" w14:textId="6B0A5C06">
      <w:pPr>
        <w:spacing w:line="480" w:lineRule="auto"/>
        <w:rPr>
          <w:b/>
          <w:bCs/>
          <w:szCs w:val="24"/>
        </w:rPr>
      </w:pPr>
      <w:bookmarkStart w:id="35" w:name="_Hlk92294240"/>
      <w:r w:rsidRPr="00E473B1">
        <w:rPr>
          <w:b/>
          <w:bCs/>
          <w:szCs w:val="24"/>
        </w:rPr>
        <w:t>* * * * *</w:t>
      </w:r>
    </w:p>
    <w:bookmarkEnd w:id="35"/>
    <w:p w:rsidR="00E473B1" w:rsidRPr="00E473B1" w:rsidP="001A1849" w14:paraId="07792F65" w14:textId="45F19593">
      <w:pPr>
        <w:spacing w:line="480" w:lineRule="auto"/>
        <w:rPr>
          <w:b/>
          <w:bCs/>
          <w:szCs w:val="24"/>
        </w:rPr>
      </w:pPr>
      <w:r w:rsidRPr="00D87615">
        <w:rPr>
          <w:b/>
          <w:bCs/>
          <w:szCs w:val="24"/>
        </w:rPr>
        <w:t>§ 73.501 [Amended]</w:t>
      </w:r>
    </w:p>
    <w:p w:rsidR="001A1849" w:rsidP="001A1849" w14:paraId="39730006" w14:textId="12F4E7B5">
      <w:pPr>
        <w:numPr>
          <w:ilvl w:val="0"/>
          <w:numId w:val="8"/>
        </w:numPr>
        <w:spacing w:line="480" w:lineRule="auto"/>
        <w:ind w:left="0" w:firstLine="360"/>
        <w:rPr>
          <w:szCs w:val="24"/>
        </w:rPr>
      </w:pPr>
      <w:r w:rsidRPr="0048207A">
        <w:rPr>
          <w:szCs w:val="24"/>
        </w:rPr>
        <w:t xml:space="preserve">Amend § 73.501 </w:t>
      </w:r>
      <w:r>
        <w:rPr>
          <w:szCs w:val="24"/>
        </w:rPr>
        <w:t>by</w:t>
      </w:r>
      <w:r w:rsidRPr="0048207A">
        <w:rPr>
          <w:szCs w:val="24"/>
        </w:rPr>
        <w:t xml:space="preserve"> remov</w:t>
      </w:r>
      <w:r>
        <w:rPr>
          <w:szCs w:val="24"/>
        </w:rPr>
        <w:t>ing</w:t>
      </w:r>
      <w:r w:rsidRPr="0048207A">
        <w:rPr>
          <w:szCs w:val="24"/>
        </w:rPr>
        <w:t xml:space="preserve"> and reserv</w:t>
      </w:r>
      <w:r>
        <w:rPr>
          <w:szCs w:val="24"/>
        </w:rPr>
        <w:t>ing</w:t>
      </w:r>
      <w:r w:rsidRPr="0048207A">
        <w:rPr>
          <w:szCs w:val="24"/>
        </w:rPr>
        <w:t xml:space="preserve"> paragraph (b).</w:t>
      </w:r>
    </w:p>
    <w:p w:rsidR="00EA04A9" w:rsidRPr="00EA04A9" w:rsidP="00EA04A9" w14:paraId="5869BD1B" w14:textId="7D1174DB">
      <w:pPr>
        <w:numPr>
          <w:ilvl w:val="0"/>
          <w:numId w:val="8"/>
        </w:numPr>
        <w:spacing w:line="480" w:lineRule="auto"/>
        <w:ind w:left="0" w:firstLine="360"/>
        <w:rPr>
          <w:szCs w:val="24"/>
        </w:rPr>
      </w:pPr>
      <w:r>
        <w:rPr>
          <w:szCs w:val="24"/>
        </w:rPr>
        <w:t>Amend § 73.507 by revising paragraph</w:t>
      </w:r>
      <w:r w:rsidR="00471D71">
        <w:rPr>
          <w:szCs w:val="24"/>
        </w:rPr>
        <w:t>s</w:t>
      </w:r>
      <w:r>
        <w:rPr>
          <w:szCs w:val="24"/>
        </w:rPr>
        <w:t xml:space="preserve"> (c)(1) </w:t>
      </w:r>
      <w:r w:rsidR="00471D71">
        <w:rPr>
          <w:szCs w:val="24"/>
        </w:rPr>
        <w:t xml:space="preserve">and (c)(2) </w:t>
      </w:r>
      <w:r>
        <w:rPr>
          <w:szCs w:val="24"/>
        </w:rPr>
        <w:t>to read as follows:</w:t>
      </w:r>
    </w:p>
    <w:p w:rsidR="00EC0E8A" w:rsidRPr="00454F76" w:rsidP="00EC0E8A" w14:paraId="4FBBA27F" w14:textId="77777777">
      <w:pPr>
        <w:spacing w:line="480" w:lineRule="auto"/>
        <w:rPr>
          <w:b/>
          <w:bCs/>
          <w:szCs w:val="24"/>
        </w:rPr>
      </w:pPr>
      <w:r w:rsidRPr="00454F76">
        <w:rPr>
          <w:b/>
          <w:bCs/>
          <w:szCs w:val="24"/>
        </w:rPr>
        <w:t>§ 73.507 Minimum distance separations between stations.</w:t>
      </w:r>
    </w:p>
    <w:p w:rsidR="00EC0E8A" w:rsidP="00EC0E8A" w14:paraId="337D5070" w14:textId="77777777">
      <w:pPr>
        <w:spacing w:line="480" w:lineRule="auto"/>
        <w:rPr>
          <w:szCs w:val="24"/>
        </w:rPr>
      </w:pPr>
      <w:r w:rsidRPr="00454F76">
        <w:rPr>
          <w:szCs w:val="24"/>
        </w:rPr>
        <w:t>* * * * *</w:t>
      </w:r>
    </w:p>
    <w:p w:rsidR="00EC0E8A" w:rsidRPr="0048207A" w:rsidP="00EC0E8A" w14:paraId="6983A124" w14:textId="6E70ACF5">
      <w:pPr>
        <w:spacing w:line="480" w:lineRule="auto"/>
        <w:rPr>
          <w:szCs w:val="24"/>
        </w:rPr>
      </w:pPr>
      <w:r>
        <w:rPr>
          <w:szCs w:val="24"/>
        </w:rPr>
        <w:t>(c)(1) S</w:t>
      </w:r>
      <w:r w:rsidRPr="00454F76">
        <w:rPr>
          <w:szCs w:val="24"/>
        </w:rPr>
        <w:t xml:space="preserve">tations separated in frequency by 10.6 or 10.8 MHz (53 or 54 channels) from allotments or assignments on non-reserved channels will not be authorized unless they conform to the separations in Table </w:t>
      </w:r>
      <w:r w:rsidR="00EA04A9">
        <w:rPr>
          <w:szCs w:val="24"/>
        </w:rPr>
        <w:t>1</w:t>
      </w:r>
      <w:r w:rsidRPr="00454F76">
        <w:rPr>
          <w:szCs w:val="24"/>
        </w:rPr>
        <w:t xml:space="preserve"> given in § 73.207.</w:t>
      </w:r>
      <w:r w:rsidRPr="00454F76">
        <w:rPr>
          <w:b/>
          <w:bCs/>
          <w:szCs w:val="24"/>
        </w:rPr>
        <w:t xml:space="preserve"> </w:t>
      </w:r>
    </w:p>
    <w:p w:rsidR="00EA04A9" w:rsidRPr="00471D71" w:rsidP="00EA04A9" w14:paraId="180969AE" w14:textId="6DE353A5">
      <w:pPr>
        <w:spacing w:line="480" w:lineRule="auto"/>
        <w:rPr>
          <w:szCs w:val="24"/>
        </w:rPr>
      </w:pPr>
      <w:r w:rsidRPr="00471D71">
        <w:rPr>
          <w:szCs w:val="24"/>
        </w:rPr>
        <w:t xml:space="preserve">(2)  Under the United States–Mexican FM Broadcasting Agreement, for stations and assignments differing in frequency by 10.6 to 10.8 MHz (53 or 54 channels), U.S. noncommercial educational FM allotments and assignments must meet the separations given in Table </w:t>
      </w:r>
      <w:r>
        <w:rPr>
          <w:szCs w:val="24"/>
        </w:rPr>
        <w:t>3</w:t>
      </w:r>
      <w:r w:rsidRPr="00471D71">
        <w:rPr>
          <w:szCs w:val="24"/>
        </w:rPr>
        <w:t xml:space="preserve"> of § 73.207 to Mexican allotments or assignments in the border area.</w:t>
      </w:r>
      <w:r>
        <w:rPr>
          <w:szCs w:val="24"/>
        </w:rPr>
        <w:t xml:space="preserve"> </w:t>
      </w:r>
    </w:p>
    <w:p w:rsidR="00EC0E8A" w:rsidRPr="00EA04A9" w:rsidP="00EC0E8A" w14:paraId="79C9D4B7" w14:textId="024F9199">
      <w:pPr>
        <w:numPr>
          <w:ilvl w:val="0"/>
          <w:numId w:val="8"/>
        </w:numPr>
        <w:spacing w:line="480" w:lineRule="auto"/>
        <w:ind w:left="0" w:firstLine="360"/>
        <w:rPr>
          <w:szCs w:val="24"/>
        </w:rPr>
      </w:pPr>
      <w:r>
        <w:rPr>
          <w:szCs w:val="24"/>
        </w:rPr>
        <w:t>Amend</w:t>
      </w:r>
      <w:r w:rsidRPr="0048207A">
        <w:rPr>
          <w:szCs w:val="24"/>
        </w:rPr>
        <w:t xml:space="preserve"> § 73.509</w:t>
      </w:r>
      <w:r>
        <w:rPr>
          <w:szCs w:val="24"/>
        </w:rPr>
        <w:t xml:space="preserve"> by revising paragraphs (a) and (b)</w:t>
      </w:r>
      <w:r w:rsidRPr="0048207A">
        <w:rPr>
          <w:szCs w:val="24"/>
        </w:rPr>
        <w:t xml:space="preserve"> to read as follows: </w:t>
      </w:r>
    </w:p>
    <w:p w:rsidR="001A1849" w:rsidRPr="0048207A" w:rsidP="001A1849" w14:paraId="78C694CB" w14:textId="77777777">
      <w:pPr>
        <w:spacing w:line="480" w:lineRule="auto"/>
        <w:rPr>
          <w:b/>
          <w:bCs/>
          <w:szCs w:val="24"/>
        </w:rPr>
      </w:pPr>
      <w:r w:rsidRPr="0048207A">
        <w:rPr>
          <w:b/>
          <w:bCs/>
          <w:szCs w:val="24"/>
        </w:rPr>
        <w:t>§ 73.509 Prohibited overlap.</w:t>
      </w:r>
    </w:p>
    <w:p w:rsidR="001A1849" w:rsidP="00B60C14" w14:paraId="754715A5" w14:textId="3B4144C2">
      <w:pPr>
        <w:spacing w:line="480" w:lineRule="auto"/>
        <w:rPr>
          <w:szCs w:val="24"/>
        </w:rPr>
      </w:pPr>
      <w:r w:rsidRPr="00B60C14">
        <w:rPr>
          <w:szCs w:val="24"/>
        </w:rPr>
        <w:t>(a</w:t>
      </w:r>
      <w:r>
        <w:rPr>
          <w:szCs w:val="24"/>
        </w:rPr>
        <w:t xml:space="preserve">) </w:t>
      </w:r>
      <w:r w:rsidRPr="00B60C14">
        <w:rPr>
          <w:szCs w:val="24"/>
        </w:rPr>
        <w:t xml:space="preserve">An application for a new or modified NCE–FM station other than a Class D (secondary) station will not be accepted if the proposed operation would involve overlap of signal strength contours with any other station licensed by the Commission and operating in the reserved band (Channels 200–220, inclusive) as set </w:t>
      </w:r>
      <w:r w:rsidR="0083408E">
        <w:rPr>
          <w:szCs w:val="24"/>
        </w:rPr>
        <w:t xml:space="preserve">forth </w:t>
      </w:r>
      <w:r>
        <w:rPr>
          <w:szCs w:val="24"/>
        </w:rPr>
        <w:t>in Table 1 to this paragraph (a)</w:t>
      </w:r>
      <w:r w:rsidRPr="00B60C14">
        <w:rPr>
          <w:szCs w:val="24"/>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08"/>
        <w:gridCol w:w="3387"/>
        <w:gridCol w:w="3375"/>
      </w:tblGrid>
      <w:tr w14:paraId="71DB2B99" w14:textId="77777777" w:rsidTr="00B60C14">
        <w:tblPrEx>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11"/>
        </w:trPr>
        <w:tc>
          <w:tcPr>
            <w:tcW w:w="9270" w:type="dxa"/>
            <w:gridSpan w:val="3"/>
          </w:tcPr>
          <w:p w:rsidR="00B60C14" w:rsidRPr="0048207A" w:rsidP="00032984" w14:paraId="022C202E" w14:textId="6E7DA843">
            <w:pPr>
              <w:keepNext/>
              <w:spacing w:line="480" w:lineRule="auto"/>
              <w:jc w:val="center"/>
              <w:rPr>
                <w:b/>
                <w:bCs/>
                <w:szCs w:val="24"/>
              </w:rPr>
            </w:pPr>
            <w:r>
              <w:rPr>
                <w:b/>
                <w:bCs/>
                <w:szCs w:val="24"/>
              </w:rPr>
              <w:t>Table 1 to paragraph (a)</w:t>
            </w:r>
          </w:p>
        </w:tc>
      </w:tr>
      <w:tr w14:paraId="39129C96" w14:textId="77777777" w:rsidTr="00B60C14">
        <w:tblPrEx>
          <w:tblW w:w="9270" w:type="dxa"/>
          <w:tblInd w:w="-5" w:type="dxa"/>
          <w:tblCellMar>
            <w:left w:w="0" w:type="dxa"/>
            <w:right w:w="0" w:type="dxa"/>
          </w:tblCellMar>
          <w:tblLook w:val="04A0"/>
        </w:tblPrEx>
        <w:trPr>
          <w:trHeight w:val="111"/>
        </w:trPr>
        <w:tc>
          <w:tcPr>
            <w:tcW w:w="2508" w:type="dxa"/>
            <w:hideMark/>
          </w:tcPr>
          <w:p w:rsidR="00B60C14" w:rsidRPr="0048207A" w:rsidP="00032984" w14:paraId="002470D8" w14:textId="77777777">
            <w:pPr>
              <w:keepNext/>
              <w:rPr>
                <w:b/>
                <w:bCs/>
                <w:szCs w:val="24"/>
              </w:rPr>
            </w:pPr>
            <w:r w:rsidRPr="0048207A">
              <w:rPr>
                <w:b/>
                <w:bCs/>
                <w:szCs w:val="24"/>
              </w:rPr>
              <w:t>Frequency separation</w:t>
            </w:r>
          </w:p>
        </w:tc>
        <w:tc>
          <w:tcPr>
            <w:tcW w:w="0" w:type="auto"/>
            <w:hideMark/>
          </w:tcPr>
          <w:p w:rsidR="00B60C14" w:rsidRPr="0048207A" w:rsidP="00032984" w14:paraId="1109B403" w14:textId="77777777">
            <w:pPr>
              <w:keepNext/>
              <w:ind w:left="1440"/>
              <w:rPr>
                <w:b/>
                <w:bCs/>
                <w:szCs w:val="24"/>
              </w:rPr>
            </w:pPr>
            <w:r w:rsidRPr="0048207A">
              <w:rPr>
                <w:b/>
                <w:bCs/>
                <w:szCs w:val="24"/>
              </w:rPr>
              <w:t>Contour of proposed station</w:t>
            </w:r>
          </w:p>
        </w:tc>
        <w:tc>
          <w:tcPr>
            <w:tcW w:w="0" w:type="auto"/>
            <w:hideMark/>
          </w:tcPr>
          <w:p w:rsidR="00B60C14" w:rsidRPr="0048207A" w:rsidP="00032984" w14:paraId="3C4B8AA4" w14:textId="77777777">
            <w:pPr>
              <w:keepNext/>
              <w:ind w:left="1440"/>
              <w:rPr>
                <w:b/>
                <w:bCs/>
                <w:szCs w:val="24"/>
              </w:rPr>
            </w:pPr>
            <w:r w:rsidRPr="0048207A">
              <w:rPr>
                <w:b/>
                <w:bCs/>
                <w:szCs w:val="24"/>
              </w:rPr>
              <w:t>Contour of any other station</w:t>
            </w:r>
          </w:p>
        </w:tc>
      </w:tr>
      <w:tr w14:paraId="48CE6134" w14:textId="77777777" w:rsidTr="00B60C14">
        <w:tblPrEx>
          <w:tblW w:w="9270" w:type="dxa"/>
          <w:tblInd w:w="-5" w:type="dxa"/>
          <w:tblCellMar>
            <w:left w:w="0" w:type="dxa"/>
            <w:right w:w="0" w:type="dxa"/>
          </w:tblCellMar>
          <w:tblLook w:val="04A0"/>
        </w:tblPrEx>
        <w:trPr>
          <w:trHeight w:val="527"/>
        </w:trPr>
        <w:tc>
          <w:tcPr>
            <w:tcW w:w="9270" w:type="dxa"/>
            <w:gridSpan w:val="3"/>
            <w:hideMark/>
          </w:tcPr>
          <w:p w:rsidR="00B60C14" w:rsidRPr="00E473B1" w:rsidP="00B60C14" w14:paraId="6BFC4ACC" w14:textId="1EEFAD18">
            <w:pPr>
              <w:keepNext/>
              <w:spacing w:line="480" w:lineRule="auto"/>
              <w:jc w:val="center"/>
              <w:rPr>
                <w:b/>
                <w:bCs/>
                <w:szCs w:val="24"/>
              </w:rPr>
            </w:pPr>
            <w:r w:rsidRPr="00E473B1">
              <w:rPr>
                <w:b/>
                <w:bCs/>
                <w:szCs w:val="24"/>
              </w:rPr>
              <w:t>* * * * * * *</w:t>
            </w:r>
          </w:p>
        </w:tc>
      </w:tr>
    </w:tbl>
    <w:p w:rsidR="00B60C14" w:rsidP="001A1849" w14:paraId="3A3C2B87" w14:textId="77777777">
      <w:pPr>
        <w:spacing w:line="480" w:lineRule="auto"/>
        <w:rPr>
          <w:szCs w:val="24"/>
        </w:rPr>
      </w:pPr>
    </w:p>
    <w:p w:rsidR="001A1849" w:rsidRPr="0048207A" w:rsidP="001A1849" w14:paraId="43165C58" w14:textId="3C26ACDE">
      <w:pPr>
        <w:spacing w:line="480" w:lineRule="auto"/>
        <w:rPr>
          <w:szCs w:val="24"/>
        </w:rPr>
      </w:pPr>
      <w:r w:rsidRPr="0048207A">
        <w:rPr>
          <w:szCs w:val="24"/>
        </w:rPr>
        <w:t xml:space="preserve">(b) An application by a Class D (secondary) station, other than an application to change class, will not be accepted if the proposed operation would involve overlap of signal strength contours with any other </w:t>
      </w:r>
      <w:r w:rsidRPr="005C3768">
        <w:rPr>
          <w:szCs w:val="24"/>
        </w:rPr>
        <w:t xml:space="preserve">station as set forth in Table </w:t>
      </w:r>
      <w:r w:rsidR="00032984">
        <w:rPr>
          <w:szCs w:val="24"/>
        </w:rPr>
        <w:t>2</w:t>
      </w:r>
      <w:r w:rsidR="00C83C12">
        <w:rPr>
          <w:szCs w:val="24"/>
        </w:rPr>
        <w:t xml:space="preserve"> </w:t>
      </w:r>
      <w:r w:rsidRPr="005C3768">
        <w:rPr>
          <w:szCs w:val="24"/>
        </w:rPr>
        <w:t xml:space="preserve">to </w:t>
      </w:r>
      <w:r w:rsidR="00032984">
        <w:rPr>
          <w:szCs w:val="24"/>
        </w:rPr>
        <w:t xml:space="preserve">this </w:t>
      </w:r>
      <w:r w:rsidRPr="005C3768">
        <w:rPr>
          <w:szCs w:val="24"/>
        </w:rPr>
        <w:t>paragraph (b):</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17"/>
        <w:gridCol w:w="3396"/>
        <w:gridCol w:w="3385"/>
      </w:tblGrid>
      <w:tr w14:paraId="21B0EC0C" w14:textId="77777777" w:rsidTr="00032984">
        <w:tblPrEx>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28"/>
        </w:trPr>
        <w:tc>
          <w:tcPr>
            <w:tcW w:w="9298" w:type="dxa"/>
            <w:gridSpan w:val="3"/>
          </w:tcPr>
          <w:p w:rsidR="001A1849" w:rsidRPr="0048207A" w:rsidP="001A1849" w14:paraId="4BE16A1E" w14:textId="6E1C20C7">
            <w:pPr>
              <w:keepNext/>
              <w:spacing w:line="480" w:lineRule="auto"/>
              <w:jc w:val="center"/>
              <w:rPr>
                <w:b/>
                <w:bCs/>
                <w:szCs w:val="24"/>
              </w:rPr>
            </w:pPr>
            <w:r>
              <w:rPr>
                <w:b/>
                <w:bCs/>
                <w:szCs w:val="24"/>
              </w:rPr>
              <w:t xml:space="preserve">Table </w:t>
            </w:r>
            <w:r w:rsidR="00032984">
              <w:rPr>
                <w:b/>
                <w:bCs/>
                <w:szCs w:val="24"/>
              </w:rPr>
              <w:t>2</w:t>
            </w:r>
            <w:r>
              <w:rPr>
                <w:b/>
                <w:bCs/>
                <w:szCs w:val="24"/>
              </w:rPr>
              <w:t xml:space="preserve"> to paragraph (b)</w:t>
            </w:r>
          </w:p>
        </w:tc>
      </w:tr>
      <w:tr w14:paraId="32FB443D" w14:textId="77777777" w:rsidTr="00032984">
        <w:tblPrEx>
          <w:tblW w:w="9298" w:type="dxa"/>
          <w:tblInd w:w="-5" w:type="dxa"/>
          <w:tblCellMar>
            <w:left w:w="0" w:type="dxa"/>
            <w:right w:w="0" w:type="dxa"/>
          </w:tblCellMar>
          <w:tblLook w:val="04A0"/>
        </w:tblPrEx>
        <w:trPr>
          <w:trHeight w:val="328"/>
        </w:trPr>
        <w:tc>
          <w:tcPr>
            <w:tcW w:w="2517" w:type="dxa"/>
            <w:hideMark/>
          </w:tcPr>
          <w:p w:rsidR="001A1849" w:rsidRPr="0048207A" w:rsidP="001A1849" w14:paraId="1B5C5876" w14:textId="77777777">
            <w:pPr>
              <w:keepNext/>
              <w:rPr>
                <w:b/>
                <w:bCs/>
                <w:szCs w:val="24"/>
              </w:rPr>
            </w:pPr>
            <w:r w:rsidRPr="0048207A">
              <w:rPr>
                <w:b/>
                <w:bCs/>
                <w:szCs w:val="24"/>
              </w:rPr>
              <w:t>Frequency separation</w:t>
            </w:r>
          </w:p>
        </w:tc>
        <w:tc>
          <w:tcPr>
            <w:tcW w:w="0" w:type="auto"/>
            <w:hideMark/>
          </w:tcPr>
          <w:p w:rsidR="001A1849" w:rsidRPr="0048207A" w:rsidP="001A1849" w14:paraId="40BA6103" w14:textId="77777777">
            <w:pPr>
              <w:keepNext/>
              <w:ind w:left="1440"/>
              <w:rPr>
                <w:b/>
                <w:bCs/>
                <w:szCs w:val="24"/>
              </w:rPr>
            </w:pPr>
            <w:r w:rsidRPr="0048207A">
              <w:rPr>
                <w:b/>
                <w:bCs/>
                <w:szCs w:val="24"/>
              </w:rPr>
              <w:t>Contour of proposed station</w:t>
            </w:r>
          </w:p>
        </w:tc>
        <w:tc>
          <w:tcPr>
            <w:tcW w:w="0" w:type="auto"/>
            <w:hideMark/>
          </w:tcPr>
          <w:p w:rsidR="001A1849" w:rsidRPr="0048207A" w:rsidP="001A1849" w14:paraId="49288821" w14:textId="77777777">
            <w:pPr>
              <w:keepNext/>
              <w:ind w:left="1440"/>
              <w:rPr>
                <w:b/>
                <w:bCs/>
                <w:szCs w:val="24"/>
              </w:rPr>
            </w:pPr>
            <w:r w:rsidRPr="0048207A">
              <w:rPr>
                <w:b/>
                <w:bCs/>
                <w:szCs w:val="24"/>
              </w:rPr>
              <w:t>Contour of any other station</w:t>
            </w:r>
          </w:p>
        </w:tc>
      </w:tr>
      <w:tr w14:paraId="415C28A9" w14:textId="77777777" w:rsidTr="00032984">
        <w:tblPrEx>
          <w:tblW w:w="9298" w:type="dxa"/>
          <w:tblInd w:w="-5" w:type="dxa"/>
          <w:tblCellMar>
            <w:left w:w="0" w:type="dxa"/>
            <w:right w:w="0" w:type="dxa"/>
          </w:tblCellMar>
          <w:tblLook w:val="04A0"/>
        </w:tblPrEx>
        <w:trPr>
          <w:trHeight w:val="398"/>
        </w:trPr>
        <w:tc>
          <w:tcPr>
            <w:tcW w:w="2517" w:type="dxa"/>
            <w:hideMark/>
          </w:tcPr>
          <w:p w:rsidR="001A1849" w:rsidRPr="0048207A" w:rsidP="001A1849" w14:paraId="6C75A15D" w14:textId="77777777">
            <w:pPr>
              <w:keepNext/>
              <w:spacing w:line="480" w:lineRule="auto"/>
              <w:rPr>
                <w:szCs w:val="24"/>
              </w:rPr>
            </w:pPr>
            <w:r w:rsidRPr="0048207A">
              <w:rPr>
                <w:szCs w:val="24"/>
              </w:rPr>
              <w:t>Co-channel </w:t>
            </w:r>
          </w:p>
        </w:tc>
        <w:tc>
          <w:tcPr>
            <w:tcW w:w="0" w:type="auto"/>
            <w:hideMark/>
          </w:tcPr>
          <w:p w:rsidR="001A1849" w:rsidRPr="0048207A" w:rsidP="001A1849" w14:paraId="77BC5861" w14:textId="77777777">
            <w:pPr>
              <w:keepNext/>
              <w:spacing w:line="480" w:lineRule="auto"/>
              <w:ind w:left="1440"/>
              <w:rPr>
                <w:szCs w:val="24"/>
              </w:rPr>
            </w:pPr>
            <w:r w:rsidRPr="0048207A">
              <w:rPr>
                <w:szCs w:val="24"/>
              </w:rPr>
              <w:t>0.1 mV/m (40 dBu)</w:t>
            </w:r>
          </w:p>
        </w:tc>
        <w:tc>
          <w:tcPr>
            <w:tcW w:w="0" w:type="auto"/>
            <w:hideMark/>
          </w:tcPr>
          <w:p w:rsidR="001A1849" w:rsidRPr="0048207A" w:rsidP="001A1849" w14:paraId="0F977B26" w14:textId="77777777">
            <w:pPr>
              <w:keepNext/>
              <w:spacing w:line="480" w:lineRule="auto"/>
              <w:ind w:left="1440"/>
              <w:rPr>
                <w:szCs w:val="24"/>
              </w:rPr>
            </w:pPr>
            <w:r w:rsidRPr="0048207A">
              <w:rPr>
                <w:szCs w:val="24"/>
              </w:rPr>
              <w:t>1 mV/m (60 dBu).</w:t>
            </w:r>
          </w:p>
        </w:tc>
      </w:tr>
      <w:tr w14:paraId="008EA9DA" w14:textId="77777777" w:rsidTr="00032984">
        <w:tblPrEx>
          <w:tblW w:w="9298" w:type="dxa"/>
          <w:tblInd w:w="-5" w:type="dxa"/>
          <w:tblCellMar>
            <w:left w:w="0" w:type="dxa"/>
            <w:right w:w="0" w:type="dxa"/>
          </w:tblCellMar>
          <w:tblLook w:val="04A0"/>
        </w:tblPrEx>
        <w:trPr>
          <w:trHeight w:val="392"/>
        </w:trPr>
        <w:tc>
          <w:tcPr>
            <w:tcW w:w="2517" w:type="dxa"/>
            <w:hideMark/>
          </w:tcPr>
          <w:p w:rsidR="001A1849" w:rsidRPr="0048207A" w:rsidP="001A1849" w14:paraId="0790BCA8" w14:textId="77777777">
            <w:pPr>
              <w:keepNext/>
              <w:spacing w:line="480" w:lineRule="auto"/>
              <w:rPr>
                <w:szCs w:val="24"/>
              </w:rPr>
            </w:pPr>
            <w:r w:rsidRPr="0048207A">
              <w:rPr>
                <w:szCs w:val="24"/>
              </w:rPr>
              <w:t>200 kHz </w:t>
            </w:r>
          </w:p>
        </w:tc>
        <w:tc>
          <w:tcPr>
            <w:tcW w:w="0" w:type="auto"/>
            <w:hideMark/>
          </w:tcPr>
          <w:p w:rsidR="001A1849" w:rsidRPr="0048207A" w:rsidP="001A1849" w14:paraId="56A223AA" w14:textId="77777777">
            <w:pPr>
              <w:keepNext/>
              <w:spacing w:line="480" w:lineRule="auto"/>
              <w:ind w:left="1440"/>
              <w:rPr>
                <w:szCs w:val="24"/>
              </w:rPr>
            </w:pPr>
            <w:r w:rsidRPr="0048207A">
              <w:rPr>
                <w:szCs w:val="24"/>
              </w:rPr>
              <w:t>0.5 mV/m (54 dBu)</w:t>
            </w:r>
          </w:p>
        </w:tc>
        <w:tc>
          <w:tcPr>
            <w:tcW w:w="0" w:type="auto"/>
            <w:hideMark/>
          </w:tcPr>
          <w:p w:rsidR="001A1849" w:rsidRPr="0048207A" w:rsidP="001A1849" w14:paraId="253F1829" w14:textId="77777777">
            <w:pPr>
              <w:keepNext/>
              <w:spacing w:line="480" w:lineRule="auto"/>
              <w:ind w:left="1440"/>
              <w:rPr>
                <w:szCs w:val="24"/>
              </w:rPr>
            </w:pPr>
            <w:r w:rsidRPr="0048207A">
              <w:rPr>
                <w:szCs w:val="24"/>
              </w:rPr>
              <w:t>1 mV/m (60 dBu).</w:t>
            </w:r>
          </w:p>
        </w:tc>
      </w:tr>
      <w:tr w14:paraId="6389FAAB" w14:textId="77777777" w:rsidTr="00032984">
        <w:tblPrEx>
          <w:tblW w:w="9298" w:type="dxa"/>
          <w:tblInd w:w="-5" w:type="dxa"/>
          <w:tblCellMar>
            <w:left w:w="0" w:type="dxa"/>
            <w:right w:w="0" w:type="dxa"/>
          </w:tblCellMar>
          <w:tblLook w:val="04A0"/>
        </w:tblPrEx>
        <w:trPr>
          <w:trHeight w:val="392"/>
        </w:trPr>
        <w:tc>
          <w:tcPr>
            <w:tcW w:w="2517" w:type="dxa"/>
            <w:hideMark/>
          </w:tcPr>
          <w:p w:rsidR="001A1849" w:rsidRPr="0048207A" w:rsidP="001A1849" w14:paraId="7C16B236" w14:textId="77777777">
            <w:pPr>
              <w:keepNext/>
              <w:spacing w:line="480" w:lineRule="auto"/>
              <w:rPr>
                <w:szCs w:val="24"/>
              </w:rPr>
            </w:pPr>
            <w:r w:rsidRPr="0048207A">
              <w:rPr>
                <w:szCs w:val="24"/>
              </w:rPr>
              <w:t>400/600 kHz </w:t>
            </w:r>
          </w:p>
        </w:tc>
        <w:tc>
          <w:tcPr>
            <w:tcW w:w="0" w:type="auto"/>
            <w:hideMark/>
          </w:tcPr>
          <w:p w:rsidR="001A1849" w:rsidRPr="0048207A" w:rsidP="001A1849" w14:paraId="0DBFAD4B" w14:textId="77777777">
            <w:pPr>
              <w:keepNext/>
              <w:spacing w:line="480" w:lineRule="auto"/>
              <w:ind w:left="1440"/>
              <w:rPr>
                <w:szCs w:val="24"/>
              </w:rPr>
            </w:pPr>
            <w:r w:rsidRPr="0048207A">
              <w:rPr>
                <w:szCs w:val="24"/>
              </w:rPr>
              <w:t>100 mV/m (100 dBu)</w:t>
            </w:r>
          </w:p>
        </w:tc>
        <w:tc>
          <w:tcPr>
            <w:tcW w:w="0" w:type="auto"/>
            <w:hideMark/>
          </w:tcPr>
          <w:p w:rsidR="001A1849" w:rsidRPr="0048207A" w:rsidP="001A1849" w14:paraId="0D67D603" w14:textId="77777777">
            <w:pPr>
              <w:keepNext/>
              <w:spacing w:line="480" w:lineRule="auto"/>
              <w:ind w:left="1440"/>
              <w:rPr>
                <w:szCs w:val="24"/>
              </w:rPr>
            </w:pPr>
            <w:r w:rsidRPr="0048207A">
              <w:rPr>
                <w:szCs w:val="24"/>
              </w:rPr>
              <w:t>1 mV/m (60 dBu).</w:t>
            </w:r>
          </w:p>
        </w:tc>
      </w:tr>
    </w:tbl>
    <w:p w:rsidR="001A1849" w:rsidRPr="0048207A" w:rsidP="001A1849" w14:paraId="3F625A32" w14:textId="77777777">
      <w:pPr>
        <w:spacing w:line="480" w:lineRule="auto"/>
        <w:rPr>
          <w:szCs w:val="24"/>
        </w:rPr>
      </w:pPr>
    </w:p>
    <w:p w:rsidR="001A1849" w:rsidRPr="00525A94" w:rsidP="00525A94" w14:paraId="3B2B1578" w14:textId="77777777">
      <w:pPr>
        <w:pStyle w:val="ListParagraph"/>
        <w:numPr>
          <w:ilvl w:val="0"/>
          <w:numId w:val="8"/>
        </w:numPr>
        <w:spacing w:line="480" w:lineRule="auto"/>
        <w:rPr>
          <w:szCs w:val="24"/>
        </w:rPr>
      </w:pPr>
      <w:r w:rsidRPr="00525A94">
        <w:rPr>
          <w:szCs w:val="24"/>
        </w:rPr>
        <w:t xml:space="preserve">Amend § 73.1665 by revising paragraph (b) and removing Table 1 to paragraph (b) to read as follows: </w:t>
      </w:r>
    </w:p>
    <w:p w:rsidR="001A1849" w:rsidRPr="0048207A" w:rsidP="001A1849" w14:paraId="7EE3663F" w14:textId="77777777">
      <w:pPr>
        <w:spacing w:line="480" w:lineRule="auto"/>
        <w:rPr>
          <w:b/>
          <w:bCs/>
          <w:szCs w:val="24"/>
        </w:rPr>
      </w:pPr>
      <w:r w:rsidRPr="0048207A">
        <w:rPr>
          <w:b/>
          <w:bCs/>
          <w:szCs w:val="24"/>
        </w:rPr>
        <w:t xml:space="preserve"> § 73.1665 Main transmitters.</w:t>
      </w:r>
    </w:p>
    <w:p w:rsidR="001A1849" w:rsidRPr="00E473B1" w:rsidP="001A1849" w14:paraId="74D66DED" w14:textId="77777777">
      <w:pPr>
        <w:spacing w:line="480" w:lineRule="auto"/>
        <w:rPr>
          <w:b/>
          <w:bCs/>
          <w:szCs w:val="24"/>
        </w:rPr>
      </w:pPr>
      <w:r w:rsidRPr="00E473B1">
        <w:rPr>
          <w:b/>
          <w:bCs/>
          <w:szCs w:val="24"/>
        </w:rPr>
        <w:t xml:space="preserve">* * * * * </w:t>
      </w:r>
    </w:p>
    <w:p w:rsidR="001A1849" w:rsidRPr="0048207A" w:rsidP="001A1849" w14:paraId="614424CB" w14:textId="77777777">
      <w:pPr>
        <w:spacing w:line="480" w:lineRule="auto"/>
        <w:rPr>
          <w:szCs w:val="24"/>
        </w:rPr>
      </w:pPr>
      <w:r w:rsidRPr="0048207A">
        <w:rPr>
          <w:szCs w:val="24"/>
        </w:rPr>
        <w:t>(b) There is no maximum manufacturer-rated power limit for AM, FM, TV or Class A TV station transmitters.</w:t>
      </w:r>
    </w:p>
    <w:p w:rsidR="001A1849" w:rsidRPr="00E473B1" w:rsidP="001A1849" w14:paraId="0E4457CA" w14:textId="77777777">
      <w:pPr>
        <w:spacing w:line="480" w:lineRule="auto"/>
        <w:rPr>
          <w:b/>
          <w:bCs/>
          <w:szCs w:val="24"/>
        </w:rPr>
      </w:pPr>
      <w:r w:rsidRPr="00E473B1">
        <w:rPr>
          <w:b/>
          <w:bCs/>
          <w:szCs w:val="24"/>
        </w:rPr>
        <w:t xml:space="preserve">* * * * * </w:t>
      </w:r>
    </w:p>
    <w:p w:rsidR="001A1849" w:rsidRPr="0048207A" w:rsidP="00525A94" w14:paraId="6EE8A444" w14:textId="77777777">
      <w:pPr>
        <w:pStyle w:val="ListParagraph"/>
        <w:numPr>
          <w:ilvl w:val="0"/>
          <w:numId w:val="8"/>
        </w:numPr>
        <w:spacing w:line="480" w:lineRule="auto"/>
        <w:rPr>
          <w:szCs w:val="24"/>
        </w:rPr>
      </w:pPr>
      <w:r w:rsidRPr="0048207A">
        <w:rPr>
          <w:szCs w:val="24"/>
        </w:rPr>
        <w:t xml:space="preserve">Amend § 73.1690 </w:t>
      </w:r>
      <w:r>
        <w:rPr>
          <w:szCs w:val="24"/>
        </w:rPr>
        <w:t>by</w:t>
      </w:r>
      <w:r w:rsidRPr="0048207A">
        <w:rPr>
          <w:szCs w:val="24"/>
        </w:rPr>
        <w:t xml:space="preserve"> revis</w:t>
      </w:r>
      <w:r>
        <w:rPr>
          <w:szCs w:val="24"/>
        </w:rPr>
        <w:t>ing</w:t>
      </w:r>
      <w:r w:rsidRPr="0048207A">
        <w:rPr>
          <w:szCs w:val="24"/>
        </w:rPr>
        <w:t xml:space="preserve"> the second sentence of paragraph (c)(8)(i) to read as follows:</w:t>
      </w:r>
    </w:p>
    <w:p w:rsidR="001A1849" w:rsidRPr="0048207A" w:rsidP="001A1849" w14:paraId="6DF2B445" w14:textId="77777777">
      <w:pPr>
        <w:spacing w:line="480" w:lineRule="auto"/>
        <w:rPr>
          <w:b/>
          <w:bCs/>
          <w:szCs w:val="24"/>
        </w:rPr>
      </w:pPr>
      <w:r w:rsidRPr="0048207A">
        <w:rPr>
          <w:b/>
          <w:bCs/>
          <w:szCs w:val="24"/>
        </w:rPr>
        <w:t>§ 73.1690 Modification of transmission systems.</w:t>
      </w:r>
    </w:p>
    <w:p w:rsidR="001A1849" w:rsidRPr="00E473B1" w:rsidP="001A1849" w14:paraId="12FAA6BE" w14:textId="77777777">
      <w:pPr>
        <w:spacing w:line="480" w:lineRule="auto"/>
        <w:rPr>
          <w:b/>
          <w:bCs/>
          <w:szCs w:val="24"/>
        </w:rPr>
      </w:pPr>
      <w:r w:rsidRPr="00E473B1">
        <w:rPr>
          <w:b/>
          <w:bCs/>
          <w:szCs w:val="24"/>
        </w:rPr>
        <w:t>* * * * *</w:t>
      </w:r>
    </w:p>
    <w:p w:rsidR="001A1849" w:rsidRPr="0048207A" w:rsidP="001A1849" w14:paraId="34DB7B40" w14:textId="77777777">
      <w:pPr>
        <w:spacing w:line="480" w:lineRule="auto"/>
        <w:rPr>
          <w:szCs w:val="24"/>
        </w:rPr>
      </w:pPr>
      <w:r w:rsidRPr="0048207A">
        <w:rPr>
          <w:szCs w:val="24"/>
        </w:rPr>
        <w:t xml:space="preserve">(c) </w:t>
      </w:r>
      <w:r w:rsidRPr="00E473B1">
        <w:rPr>
          <w:b/>
          <w:bCs/>
          <w:szCs w:val="24"/>
        </w:rPr>
        <w:t>* * *</w:t>
      </w:r>
    </w:p>
    <w:p w:rsidR="001A1849" w:rsidRPr="0048207A" w:rsidP="001A1849" w14:paraId="631410E0" w14:textId="77777777">
      <w:pPr>
        <w:spacing w:line="480" w:lineRule="auto"/>
        <w:rPr>
          <w:szCs w:val="24"/>
        </w:rPr>
      </w:pPr>
      <w:r w:rsidRPr="0048207A">
        <w:rPr>
          <w:szCs w:val="24"/>
        </w:rPr>
        <w:t xml:space="preserve">(8) </w:t>
      </w:r>
      <w:r w:rsidRPr="00E473B1">
        <w:rPr>
          <w:b/>
          <w:bCs/>
          <w:szCs w:val="24"/>
        </w:rPr>
        <w:t>* * *</w:t>
      </w:r>
    </w:p>
    <w:p w:rsidR="001A1849" w:rsidRPr="0048207A" w:rsidP="00F1642C" w14:paraId="13D85E49" w14:textId="77777777">
      <w:pPr>
        <w:widowControl/>
        <w:spacing w:line="480" w:lineRule="auto"/>
        <w:rPr>
          <w:szCs w:val="24"/>
        </w:rPr>
      </w:pPr>
      <w:r w:rsidRPr="0048207A">
        <w:rPr>
          <w:szCs w:val="24"/>
        </w:rPr>
        <w:t xml:space="preserve">(i) </w:t>
      </w:r>
      <w:r w:rsidRPr="00E473B1">
        <w:rPr>
          <w:b/>
          <w:bCs/>
          <w:szCs w:val="24"/>
        </w:rPr>
        <w:t>* * *</w:t>
      </w:r>
      <w:r w:rsidRPr="0048207A">
        <w:rPr>
          <w:szCs w:val="24"/>
        </w:rPr>
        <w:t xml:space="preserve"> Noncommercial educational FM stations must continue to provide a 60 dBu contour over at least </w:t>
      </w:r>
      <w:r w:rsidRPr="0048207A">
        <w:rPr>
          <w:szCs w:val="24"/>
        </w:rPr>
        <w:t xml:space="preserve">50 percent of its community of license or reach 50 percent of the population within the community. </w:t>
      </w:r>
      <w:r w:rsidRPr="00E473B1">
        <w:rPr>
          <w:b/>
          <w:bCs/>
          <w:szCs w:val="24"/>
        </w:rPr>
        <w:t>* * *</w:t>
      </w:r>
    </w:p>
    <w:p w:rsidR="001A1849" w:rsidRPr="00E473B1" w:rsidP="001A1849" w14:paraId="6EA5C220" w14:textId="77777777">
      <w:pPr>
        <w:spacing w:line="480" w:lineRule="auto"/>
        <w:rPr>
          <w:b/>
          <w:bCs/>
          <w:szCs w:val="24"/>
        </w:rPr>
      </w:pPr>
      <w:r w:rsidRPr="00E473B1">
        <w:rPr>
          <w:b/>
          <w:bCs/>
          <w:szCs w:val="24"/>
        </w:rPr>
        <w:t>* * * * *</w:t>
      </w:r>
    </w:p>
    <w:p w:rsidR="001A1849" w:rsidRPr="00091718" w:rsidP="001A1849" w14:paraId="68153AE3" w14:textId="08F7A83D">
      <w:pPr>
        <w:spacing w:line="480" w:lineRule="auto"/>
        <w:rPr>
          <w:b/>
          <w:bCs/>
          <w:szCs w:val="24"/>
        </w:rPr>
      </w:pPr>
      <w:r>
        <w:rPr>
          <w:b/>
          <w:bCs/>
          <w:szCs w:val="24"/>
        </w:rPr>
        <w:t>PART 74</w:t>
      </w:r>
      <w:r w:rsidR="00EA1C19">
        <w:rPr>
          <w:b/>
          <w:bCs/>
          <w:szCs w:val="24"/>
        </w:rPr>
        <w:t xml:space="preserve"> –</w:t>
      </w:r>
      <w:r>
        <w:rPr>
          <w:b/>
          <w:bCs/>
          <w:szCs w:val="24"/>
        </w:rPr>
        <w:t xml:space="preserve"> EXPERIMENTAL RADIO, AUXILIARY, SPECIAL BROADCAST AND OTHER PROGRAM DISTRIBUTIONAL SERVICES</w:t>
      </w:r>
    </w:p>
    <w:p w:rsidR="001A1849" w:rsidRPr="0048207A" w:rsidP="00525A94" w14:paraId="1180FAA6" w14:textId="77777777">
      <w:pPr>
        <w:pStyle w:val="ListParagraph"/>
        <w:numPr>
          <w:ilvl w:val="0"/>
          <w:numId w:val="8"/>
        </w:numPr>
        <w:spacing w:line="480" w:lineRule="auto"/>
        <w:rPr>
          <w:szCs w:val="24"/>
        </w:rPr>
      </w:pPr>
      <w:r w:rsidRPr="0048207A">
        <w:rPr>
          <w:szCs w:val="24"/>
        </w:rPr>
        <w:t>The authority citation for part 74 continues to read as follows:</w:t>
      </w:r>
    </w:p>
    <w:p w:rsidR="001A1849" w:rsidP="001A1849" w14:paraId="1C1C602A" w14:textId="77777777">
      <w:pPr>
        <w:spacing w:line="480" w:lineRule="auto"/>
        <w:rPr>
          <w:szCs w:val="24"/>
        </w:rPr>
      </w:pPr>
      <w:r w:rsidRPr="0048207A">
        <w:rPr>
          <w:szCs w:val="24"/>
        </w:rPr>
        <w:t>Authority: 47 U.S.C. 154, 302a, 303, 307, 309, 310, 336 and 554.</w:t>
      </w:r>
    </w:p>
    <w:p w:rsidR="001A1849" w:rsidRPr="0048207A" w:rsidP="001A1849" w14:paraId="07A1E508" w14:textId="77777777">
      <w:pPr>
        <w:spacing w:line="480" w:lineRule="auto"/>
        <w:rPr>
          <w:b/>
          <w:bCs/>
          <w:szCs w:val="24"/>
        </w:rPr>
      </w:pPr>
      <w:r w:rsidRPr="0048207A">
        <w:rPr>
          <w:b/>
          <w:bCs/>
          <w:szCs w:val="24"/>
        </w:rPr>
        <w:t xml:space="preserve">§ 74.702 </w:t>
      </w:r>
      <w:r>
        <w:rPr>
          <w:b/>
          <w:bCs/>
          <w:szCs w:val="24"/>
        </w:rPr>
        <w:t>[Amended]</w:t>
      </w:r>
    </w:p>
    <w:p w:rsidR="001A1849" w:rsidRPr="0048207A" w:rsidP="00525A94" w14:paraId="68DC191A" w14:textId="77777777">
      <w:pPr>
        <w:pStyle w:val="ListParagraph"/>
        <w:numPr>
          <w:ilvl w:val="0"/>
          <w:numId w:val="8"/>
        </w:numPr>
        <w:spacing w:line="480" w:lineRule="auto"/>
        <w:rPr>
          <w:szCs w:val="24"/>
        </w:rPr>
      </w:pPr>
      <w:r w:rsidRPr="0048207A">
        <w:rPr>
          <w:szCs w:val="24"/>
        </w:rPr>
        <w:t xml:space="preserve">Amend § 74.702 </w:t>
      </w:r>
      <w:r>
        <w:rPr>
          <w:szCs w:val="24"/>
        </w:rPr>
        <w:t>by</w:t>
      </w:r>
      <w:r w:rsidRPr="0048207A">
        <w:rPr>
          <w:szCs w:val="24"/>
        </w:rPr>
        <w:t xml:space="preserve"> remov</w:t>
      </w:r>
      <w:r>
        <w:rPr>
          <w:szCs w:val="24"/>
        </w:rPr>
        <w:t>ing</w:t>
      </w:r>
      <w:r w:rsidRPr="0048207A">
        <w:rPr>
          <w:szCs w:val="24"/>
        </w:rPr>
        <w:t xml:space="preserve"> the second sentence of paragraph (a)(1)</w:t>
      </w:r>
      <w:r>
        <w:rPr>
          <w:szCs w:val="24"/>
        </w:rPr>
        <w:t>.</w:t>
      </w:r>
    </w:p>
    <w:p w:rsidR="001A1849" w:rsidRPr="0048207A" w:rsidP="001A1849" w14:paraId="5EBBF94C" w14:textId="77777777">
      <w:pPr>
        <w:spacing w:line="480" w:lineRule="auto"/>
        <w:rPr>
          <w:szCs w:val="24"/>
        </w:rPr>
      </w:pPr>
      <w:r w:rsidRPr="0048207A">
        <w:rPr>
          <w:b/>
          <w:bCs/>
          <w:szCs w:val="24"/>
        </w:rPr>
        <w:t>§ 74.786</w:t>
      </w:r>
      <w:r>
        <w:rPr>
          <w:b/>
          <w:bCs/>
          <w:szCs w:val="24"/>
        </w:rPr>
        <w:t xml:space="preserve"> [Amended]</w:t>
      </w:r>
    </w:p>
    <w:p w:rsidR="001A1849" w:rsidRPr="0048207A" w:rsidP="00525A94" w14:paraId="6C57C64D" w14:textId="77777777">
      <w:pPr>
        <w:pStyle w:val="ListParagraph"/>
        <w:numPr>
          <w:ilvl w:val="0"/>
          <w:numId w:val="8"/>
        </w:numPr>
        <w:spacing w:line="480" w:lineRule="auto"/>
        <w:rPr>
          <w:szCs w:val="24"/>
        </w:rPr>
      </w:pPr>
      <w:r w:rsidRPr="0048207A">
        <w:rPr>
          <w:szCs w:val="24"/>
        </w:rPr>
        <w:t xml:space="preserve">Amend § 74.786 </w:t>
      </w:r>
      <w:r>
        <w:rPr>
          <w:szCs w:val="24"/>
        </w:rPr>
        <w:t>by</w:t>
      </w:r>
      <w:r w:rsidRPr="0048207A">
        <w:rPr>
          <w:szCs w:val="24"/>
        </w:rPr>
        <w:t xml:space="preserve"> remov</w:t>
      </w:r>
      <w:r>
        <w:rPr>
          <w:szCs w:val="24"/>
        </w:rPr>
        <w:t>ing</w:t>
      </w:r>
      <w:r w:rsidRPr="0048207A">
        <w:rPr>
          <w:szCs w:val="24"/>
        </w:rPr>
        <w:t xml:space="preserve"> the second sentence of paragraph (b)</w:t>
      </w:r>
      <w:r>
        <w:rPr>
          <w:szCs w:val="24"/>
        </w:rPr>
        <w:t>.</w:t>
      </w:r>
    </w:p>
    <w:p w:rsidR="001A1849" w:rsidRPr="0048207A" w:rsidP="00525A94" w14:paraId="7E5F752D" w14:textId="77777777">
      <w:pPr>
        <w:pStyle w:val="ListParagraph"/>
        <w:numPr>
          <w:ilvl w:val="0"/>
          <w:numId w:val="8"/>
        </w:numPr>
        <w:spacing w:line="480" w:lineRule="auto"/>
        <w:rPr>
          <w:szCs w:val="24"/>
        </w:rPr>
      </w:pPr>
      <w:r w:rsidRPr="0048207A">
        <w:rPr>
          <w:szCs w:val="24"/>
        </w:rPr>
        <w:t xml:space="preserve">Amend § 74.1201 </w:t>
      </w:r>
      <w:r>
        <w:rPr>
          <w:szCs w:val="24"/>
        </w:rPr>
        <w:t>by</w:t>
      </w:r>
      <w:r w:rsidRPr="0048207A">
        <w:rPr>
          <w:szCs w:val="24"/>
        </w:rPr>
        <w:t xml:space="preserve"> revis</w:t>
      </w:r>
      <w:r>
        <w:rPr>
          <w:szCs w:val="24"/>
        </w:rPr>
        <w:t>ing</w:t>
      </w:r>
      <w:r w:rsidRPr="0048207A">
        <w:rPr>
          <w:szCs w:val="24"/>
        </w:rPr>
        <w:t xml:space="preserve"> paragraph (j) to read as follows:</w:t>
      </w:r>
    </w:p>
    <w:p w:rsidR="001A1849" w:rsidRPr="0048207A" w:rsidP="001A1849" w14:paraId="2F1F2D45" w14:textId="77777777">
      <w:pPr>
        <w:spacing w:line="480" w:lineRule="auto"/>
        <w:rPr>
          <w:b/>
          <w:bCs/>
          <w:szCs w:val="24"/>
        </w:rPr>
      </w:pPr>
      <w:r w:rsidRPr="0048207A">
        <w:rPr>
          <w:szCs w:val="24"/>
        </w:rPr>
        <w:t xml:space="preserve"> </w:t>
      </w:r>
      <w:r w:rsidRPr="0048207A">
        <w:rPr>
          <w:b/>
          <w:bCs/>
          <w:szCs w:val="24"/>
        </w:rPr>
        <w:t>§ 74.1201 Definitions.</w:t>
      </w:r>
    </w:p>
    <w:p w:rsidR="001A1849" w:rsidRPr="00E473B1" w:rsidP="001A1849" w14:paraId="5A187586" w14:textId="77777777">
      <w:pPr>
        <w:spacing w:line="480" w:lineRule="auto"/>
        <w:rPr>
          <w:b/>
          <w:bCs/>
          <w:szCs w:val="24"/>
        </w:rPr>
      </w:pPr>
      <w:r w:rsidRPr="00E473B1">
        <w:rPr>
          <w:b/>
          <w:bCs/>
          <w:szCs w:val="24"/>
        </w:rPr>
        <w:t>* * * * *</w:t>
      </w:r>
    </w:p>
    <w:p w:rsidR="001A1849" w:rsidRPr="0048207A" w:rsidP="001A1849" w14:paraId="77617E20" w14:textId="77777777">
      <w:pPr>
        <w:spacing w:line="480" w:lineRule="auto"/>
        <w:rPr>
          <w:szCs w:val="24"/>
        </w:rPr>
      </w:pPr>
      <w:r w:rsidRPr="0048207A">
        <w:rPr>
          <w:szCs w:val="24"/>
        </w:rPr>
        <w:t xml:space="preserve">(j) </w:t>
      </w:r>
      <w:r w:rsidRPr="00EF1CB5">
        <w:rPr>
          <w:i/>
          <w:szCs w:val="24"/>
        </w:rPr>
        <w:t>AM Fill-in area</w:t>
      </w:r>
      <w:r w:rsidRPr="0048207A">
        <w:rPr>
          <w:szCs w:val="24"/>
        </w:rPr>
        <w:t>. The area within the greater of the 2 mV/m daytime contour of the AM radio broadcast station being rebroadcast or a 25–mile (40 km) radius centered at the AM transmitter site.</w:t>
      </w:r>
    </w:p>
    <w:p w:rsidR="001A1849" w:rsidRPr="00E473B1" w:rsidP="001A1849" w14:paraId="723099C4" w14:textId="77777777">
      <w:pPr>
        <w:spacing w:line="480" w:lineRule="auto"/>
        <w:rPr>
          <w:b/>
          <w:bCs/>
          <w:szCs w:val="24"/>
        </w:rPr>
      </w:pPr>
      <w:r w:rsidRPr="00E473B1">
        <w:rPr>
          <w:b/>
          <w:bCs/>
          <w:szCs w:val="24"/>
        </w:rPr>
        <w:t>* * * * *</w:t>
      </w:r>
    </w:p>
    <w:p w:rsidR="001A1849" w:rsidRPr="00993E6C" w:rsidP="001A1849" w14:paraId="4D87F60E" w14:textId="77777777">
      <w:pPr>
        <w:spacing w:line="480" w:lineRule="auto"/>
        <w:rPr>
          <w:b/>
          <w:bCs/>
          <w:szCs w:val="24"/>
        </w:rPr>
      </w:pPr>
      <w:r w:rsidRPr="00993E6C">
        <w:rPr>
          <w:b/>
          <w:bCs/>
          <w:szCs w:val="24"/>
        </w:rPr>
        <w:t>§ 74.1202 [Amended]</w:t>
      </w:r>
    </w:p>
    <w:p w:rsidR="001A1849" w:rsidRPr="0048207A" w:rsidP="00525A94" w14:paraId="73F748AE" w14:textId="77777777">
      <w:pPr>
        <w:pStyle w:val="ListParagraph"/>
        <w:numPr>
          <w:ilvl w:val="0"/>
          <w:numId w:val="8"/>
        </w:numPr>
        <w:spacing w:line="480" w:lineRule="auto"/>
        <w:rPr>
          <w:szCs w:val="24"/>
        </w:rPr>
      </w:pPr>
      <w:r w:rsidRPr="0048207A">
        <w:rPr>
          <w:szCs w:val="24"/>
        </w:rPr>
        <w:t xml:space="preserve">Amend </w:t>
      </w:r>
      <w:bookmarkStart w:id="36" w:name="_Hlk77592211"/>
      <w:r w:rsidRPr="0048207A">
        <w:rPr>
          <w:szCs w:val="24"/>
        </w:rPr>
        <w:t xml:space="preserve">§ 74.1202 </w:t>
      </w:r>
      <w:bookmarkEnd w:id="36"/>
      <w:r>
        <w:rPr>
          <w:szCs w:val="24"/>
        </w:rPr>
        <w:t>by</w:t>
      </w:r>
      <w:r w:rsidRPr="0048207A">
        <w:rPr>
          <w:szCs w:val="24"/>
        </w:rPr>
        <w:t xml:space="preserve"> remov</w:t>
      </w:r>
      <w:r>
        <w:rPr>
          <w:szCs w:val="24"/>
        </w:rPr>
        <w:t>ing</w:t>
      </w:r>
      <w:r w:rsidRPr="0048207A">
        <w:rPr>
          <w:szCs w:val="24"/>
        </w:rPr>
        <w:t xml:space="preserve"> paragraph (b)(3).</w:t>
      </w:r>
    </w:p>
    <w:p w:rsidR="001A1849" w:rsidRPr="0048207A" w:rsidP="00525A94" w14:paraId="70AC33FE" w14:textId="1B29DE65">
      <w:pPr>
        <w:pStyle w:val="ListParagraph"/>
        <w:numPr>
          <w:ilvl w:val="0"/>
          <w:numId w:val="8"/>
        </w:numPr>
        <w:spacing w:line="480" w:lineRule="auto"/>
        <w:rPr>
          <w:szCs w:val="24"/>
        </w:rPr>
      </w:pPr>
      <w:r w:rsidRPr="0048207A">
        <w:rPr>
          <w:szCs w:val="24"/>
        </w:rPr>
        <w:t>Amend § 74.1235</w:t>
      </w:r>
      <w:r>
        <w:rPr>
          <w:szCs w:val="24"/>
        </w:rPr>
        <w:t xml:space="preserve"> by revising paragraph (d)</w:t>
      </w:r>
      <w:r w:rsidRPr="0048207A">
        <w:rPr>
          <w:szCs w:val="24"/>
        </w:rPr>
        <w:t xml:space="preserve"> as follows:</w:t>
      </w:r>
    </w:p>
    <w:p w:rsidR="001A1849" w:rsidRPr="0048207A" w:rsidP="001A1849" w14:paraId="19538FFC" w14:textId="77777777">
      <w:pPr>
        <w:spacing w:line="480" w:lineRule="auto"/>
        <w:rPr>
          <w:szCs w:val="24"/>
        </w:rPr>
      </w:pPr>
      <w:r w:rsidRPr="0048207A">
        <w:rPr>
          <w:b/>
          <w:bCs/>
          <w:szCs w:val="24"/>
        </w:rPr>
        <w:t>§ 74.1235 Power limitations and antenna systems.</w:t>
      </w:r>
    </w:p>
    <w:p w:rsidR="001A1849" w:rsidRPr="00E473B1" w:rsidP="001A1849" w14:paraId="35C78200" w14:textId="77777777">
      <w:pPr>
        <w:spacing w:line="480" w:lineRule="auto"/>
        <w:rPr>
          <w:b/>
          <w:bCs/>
          <w:szCs w:val="24"/>
        </w:rPr>
      </w:pPr>
      <w:r w:rsidRPr="00E473B1">
        <w:rPr>
          <w:b/>
          <w:bCs/>
          <w:szCs w:val="24"/>
        </w:rPr>
        <w:t>* * * * *</w:t>
      </w:r>
    </w:p>
    <w:p w:rsidR="001A1849" w:rsidRPr="0048207A" w:rsidP="001A1849" w14:paraId="592B9699" w14:textId="364409B3">
      <w:pPr>
        <w:spacing w:line="480" w:lineRule="auto"/>
        <w:rPr>
          <w:szCs w:val="24"/>
        </w:rPr>
      </w:pPr>
      <w:r w:rsidRPr="0048207A">
        <w:rPr>
          <w:szCs w:val="24"/>
        </w:rPr>
        <w:t>(d)</w:t>
      </w:r>
      <w:bookmarkStart w:id="37" w:name="_Hlk91604592"/>
      <w:r w:rsidRPr="0048207A">
        <w:rPr>
          <w:szCs w:val="24"/>
        </w:rPr>
        <w:t xml:space="preserve">(1) Translator </w:t>
      </w:r>
      <w:r w:rsidR="00E7626F">
        <w:rPr>
          <w:szCs w:val="24"/>
        </w:rPr>
        <w:t xml:space="preserve">or booster </w:t>
      </w:r>
      <w:r w:rsidRPr="0048207A">
        <w:rPr>
          <w:szCs w:val="24"/>
        </w:rPr>
        <w:t xml:space="preserve">stations located within 125 kilometers of the Mexican border </w:t>
      </w:r>
      <w:r w:rsidR="00C3542B">
        <w:rPr>
          <w:szCs w:val="24"/>
        </w:rPr>
        <w:t>may</w:t>
      </w:r>
      <w:r w:rsidRPr="0048207A">
        <w:rPr>
          <w:szCs w:val="24"/>
        </w:rPr>
        <w:t xml:space="preserve"> not exceed an </w:t>
      </w:r>
      <w:r w:rsidR="00C3542B">
        <w:rPr>
          <w:szCs w:val="24"/>
        </w:rPr>
        <w:t>ERP</w:t>
      </w:r>
      <w:r w:rsidRPr="0048207A">
        <w:rPr>
          <w:szCs w:val="24"/>
        </w:rPr>
        <w:t xml:space="preserve"> of 50 watts (0.050 kW) </w:t>
      </w:r>
      <w:r w:rsidRPr="00E7626F">
        <w:rPr>
          <w:szCs w:val="24"/>
        </w:rPr>
        <w:t>in the direction of the Mexican border</w:t>
      </w:r>
      <w:r w:rsidRPr="0048207A">
        <w:rPr>
          <w:szCs w:val="24"/>
        </w:rPr>
        <w:t xml:space="preserve">.  </w:t>
      </w:r>
      <w:r w:rsidR="00E7626F">
        <w:rPr>
          <w:szCs w:val="24"/>
        </w:rPr>
        <w:t>Such stations</w:t>
      </w:r>
      <w:r w:rsidRPr="0048207A">
        <w:rPr>
          <w:szCs w:val="24"/>
        </w:rPr>
        <w:t xml:space="preserve"> </w:t>
      </w:r>
      <w:r w:rsidR="004A2399">
        <w:rPr>
          <w:szCs w:val="24"/>
        </w:rPr>
        <w:t xml:space="preserve">also </w:t>
      </w:r>
      <w:r w:rsidRPr="0048207A">
        <w:rPr>
          <w:szCs w:val="24"/>
        </w:rPr>
        <w:t xml:space="preserve">may not produce an interfering contour in excess of 32 km from the transmitter site in the direction of the Mexican border, nor may the 60 dBu service contour exceed 8.7 km from the transmitter site </w:t>
      </w:r>
      <w:r w:rsidRPr="00E7626F">
        <w:rPr>
          <w:szCs w:val="24"/>
        </w:rPr>
        <w:t>in the direction of the Mexican border</w:t>
      </w:r>
      <w:r w:rsidRPr="0048207A">
        <w:rPr>
          <w:szCs w:val="24"/>
        </w:rPr>
        <w:t xml:space="preserve">. </w:t>
      </w:r>
    </w:p>
    <w:p w:rsidR="00346F40" w:rsidP="00346F40" w14:paraId="478999B0" w14:textId="0202BDA3">
      <w:pPr>
        <w:spacing w:line="480" w:lineRule="auto"/>
        <w:rPr>
          <w:szCs w:val="24"/>
        </w:rPr>
      </w:pPr>
      <w:r w:rsidRPr="0048207A">
        <w:rPr>
          <w:szCs w:val="24"/>
        </w:rPr>
        <w:t xml:space="preserve">(2) Translator </w:t>
      </w:r>
      <w:r w:rsidR="00E7626F">
        <w:rPr>
          <w:szCs w:val="24"/>
        </w:rPr>
        <w:t xml:space="preserve">or booster </w:t>
      </w:r>
      <w:r w:rsidRPr="0048207A">
        <w:rPr>
          <w:szCs w:val="24"/>
        </w:rPr>
        <w:t xml:space="preserve">stations located between 125 kilometers and 320 kilometers from the Mexican border </w:t>
      </w:r>
      <w:r w:rsidRPr="00E7626F" w:rsidR="00E7626F">
        <w:rPr>
          <w:szCs w:val="24"/>
        </w:rPr>
        <w:t>may operate with an ERP in excess of 50 watts</w:t>
      </w:r>
      <w:r w:rsidR="00C3542B">
        <w:rPr>
          <w:szCs w:val="24"/>
        </w:rPr>
        <w:t xml:space="preserve">. </w:t>
      </w:r>
      <w:r w:rsidR="00D81117">
        <w:rPr>
          <w:szCs w:val="24"/>
        </w:rPr>
        <w:t>* * *</w:t>
      </w:r>
      <w:r w:rsidRPr="0048207A">
        <w:rPr>
          <w:szCs w:val="24"/>
        </w:rPr>
        <w:t xml:space="preserve"> </w:t>
      </w:r>
    </w:p>
    <w:p w:rsidR="00CE682C" w:rsidP="00CE682C" w14:paraId="6AE3C2B8" w14:textId="77777777">
      <w:pPr>
        <w:spacing w:line="480" w:lineRule="auto"/>
        <w:rPr>
          <w:szCs w:val="24"/>
        </w:rPr>
        <w:sectPr w:rsidSect="00C71828">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r>
        <w:rPr>
          <w:szCs w:val="24"/>
        </w:rPr>
        <w:t>(3) * * *</w:t>
      </w:r>
      <w:bookmarkEnd w:id="37"/>
    </w:p>
    <w:p w:rsidR="00E73E26" w:rsidRPr="00E0693D" w:rsidP="00CE682C" w14:paraId="500AA767" w14:textId="47EDC289">
      <w:pPr>
        <w:widowControl/>
        <w:spacing w:after="120"/>
        <w:jc w:val="center"/>
        <w:rPr>
          <w:b/>
        </w:rPr>
      </w:pPr>
      <w:r w:rsidRPr="00E0693D">
        <w:rPr>
          <w:b/>
        </w:rPr>
        <w:t>APPENDIX C</w:t>
      </w:r>
    </w:p>
    <w:p w:rsidR="00DC485B" w:rsidRPr="00E0693D" w:rsidP="00DC485B" w14:paraId="4E7E959B" w14:textId="77777777">
      <w:pPr>
        <w:pStyle w:val="ParaNum"/>
        <w:numPr>
          <w:ilvl w:val="0"/>
          <w:numId w:val="0"/>
        </w:numPr>
        <w:tabs>
          <w:tab w:val="num" w:pos="1260"/>
        </w:tabs>
        <w:jc w:val="center"/>
        <w:rPr>
          <w:b/>
        </w:rPr>
      </w:pPr>
      <w:r w:rsidRPr="00E0693D">
        <w:rPr>
          <w:b/>
        </w:rPr>
        <w:t>Final Regulatory Flexibility Analysis</w:t>
      </w:r>
    </w:p>
    <w:p w:rsidR="00DC485B" w:rsidP="00DC485B" w14:paraId="693E3C30" w14:textId="77777777">
      <w:pPr>
        <w:pStyle w:val="ParaNum"/>
        <w:numPr>
          <w:ilvl w:val="0"/>
          <w:numId w:val="9"/>
        </w:numPr>
        <w:tabs>
          <w:tab w:val="clear" w:pos="1080"/>
        </w:tabs>
      </w:pPr>
      <w:r w:rsidRPr="00E0693D">
        <w:t>As required by the Regulatory Flexibility Act of 1980, as amended (RFA)</w:t>
      </w:r>
      <w:r>
        <w:rPr>
          <w:sz w:val="20"/>
          <w:szCs w:val="22"/>
          <w:vertAlign w:val="superscript"/>
        </w:rPr>
        <w:footnoteReference w:id="78"/>
      </w:r>
      <w:r w:rsidRPr="00E0693D">
        <w:t xml:space="preserve"> an Initial Regulatory Flexibility Analysis (IRFA) was incorporated</w:t>
      </w:r>
      <w:r w:rsidRPr="007070A6">
        <w:t xml:space="preserve"> in the </w:t>
      </w:r>
      <w:r w:rsidRPr="00B15A12">
        <w:rPr>
          <w:i/>
        </w:rPr>
        <w:t>Notice of Proposed Rule Making</w:t>
      </w:r>
      <w:r w:rsidRPr="007070A6">
        <w:t xml:space="preserve"> (</w:t>
      </w:r>
      <w:r w:rsidRPr="00B15A12">
        <w:rPr>
          <w:i/>
        </w:rPr>
        <w:t>NPRM</w:t>
      </w:r>
      <w:r w:rsidRPr="007070A6">
        <w:t>) to this proceeding.</w:t>
      </w:r>
      <w:r>
        <w:rPr>
          <w:sz w:val="20"/>
          <w:szCs w:val="22"/>
          <w:vertAlign w:val="superscript"/>
        </w:rPr>
        <w:footnoteReference w:id="79"/>
      </w:r>
      <w:r w:rsidRPr="007070A6">
        <w:t xml:space="preserve">  The Commission sought written public comment on the proposals in the </w:t>
      </w:r>
      <w:r w:rsidRPr="00B15A12">
        <w:rPr>
          <w:i/>
        </w:rPr>
        <w:t>NPRM</w:t>
      </w:r>
      <w:r w:rsidRPr="007070A6">
        <w:t xml:space="preserve">, including comment on the IRFA.  The Commission </w:t>
      </w:r>
      <w:r w:rsidRPr="00B15A12">
        <w:rPr>
          <w:szCs w:val="22"/>
        </w:rPr>
        <w:t>received</w:t>
      </w:r>
      <w:r w:rsidRPr="007070A6">
        <w:t xml:space="preserve"> no comments on the IRFA.  This Final Regulatory Flexibility Analysis (FRFA) conforms to the RFA.</w:t>
      </w:r>
      <w:r>
        <w:rPr>
          <w:sz w:val="20"/>
          <w:szCs w:val="22"/>
          <w:vertAlign w:val="superscript"/>
        </w:rPr>
        <w:footnoteReference w:id="80"/>
      </w:r>
    </w:p>
    <w:p w:rsidR="00DC485B" w:rsidP="00253246" w14:paraId="1397F853" w14:textId="77777777">
      <w:pPr>
        <w:pStyle w:val="Heading2"/>
      </w:pPr>
      <w:bookmarkStart w:id="38" w:name="_Toc50566016"/>
      <w:bookmarkStart w:id="39" w:name="_Toc52786415"/>
      <w:r>
        <w:t>Need For, and Objectives of, the Report and Order</w:t>
      </w:r>
      <w:bookmarkEnd w:id="38"/>
      <w:bookmarkEnd w:id="39"/>
    </w:p>
    <w:p w:rsidR="00DC485B" w:rsidP="00DC485B" w14:paraId="481E376F" w14:textId="77777777">
      <w:pPr>
        <w:pStyle w:val="ParaNum"/>
      </w:pPr>
      <w:r>
        <w:t xml:space="preserve">This </w:t>
      </w:r>
      <w:r>
        <w:rPr>
          <w:i/>
        </w:rPr>
        <w:t xml:space="preserve">Report and Order </w:t>
      </w:r>
      <w:r>
        <w:rPr>
          <w:iCs/>
        </w:rPr>
        <w:t xml:space="preserve">adopts several </w:t>
      </w:r>
      <w:r>
        <w:t>rule changes to</w:t>
      </w:r>
      <w:bookmarkStart w:id="40" w:name="_Toc419896057"/>
      <w:bookmarkStart w:id="41" w:name="_Toc419898388"/>
      <w:bookmarkStart w:id="42" w:name="_Toc50566017"/>
      <w:bookmarkStart w:id="43" w:name="_Toc52786416"/>
      <w:r w:rsidRPr="00531D23">
        <w:t xml:space="preserve"> better reflect current requirements and eliminate redundant, outdated, or conflicting provisions.  Specifically, the Commission: </w:t>
      </w:r>
    </w:p>
    <w:p w:rsidR="00DC485B" w:rsidP="00DC485B" w14:paraId="4A416867" w14:textId="739BCBAC">
      <w:pPr>
        <w:pStyle w:val="ParaNum"/>
        <w:numPr>
          <w:ilvl w:val="0"/>
          <w:numId w:val="16"/>
        </w:numPr>
      </w:pPr>
      <w:r>
        <w:t>E</w:t>
      </w:r>
      <w:r w:rsidRPr="00531D23">
        <w:t>liminat</w:t>
      </w:r>
      <w:r>
        <w:t>es</w:t>
      </w:r>
      <w:r w:rsidRPr="00531D23">
        <w:t xml:space="preserve"> the maximum rated transmitter power limit rule for AM stations</w:t>
      </w:r>
      <w:r>
        <w:t>.  The Commission finds that an</w:t>
      </w:r>
      <w:r w:rsidRPr="00025C6D">
        <w:t xml:space="preserve"> equipment limitation on potential transmitter power </w:t>
      </w:r>
      <w:r>
        <w:t xml:space="preserve">that is established by the transmitter manufacturer </w:t>
      </w:r>
      <w:r w:rsidRPr="00025C6D">
        <w:t>is outdated and unnecessary given</w:t>
      </w:r>
      <w:r>
        <w:t xml:space="preserve"> the Commission’s</w:t>
      </w:r>
      <w:r w:rsidRPr="00025C6D">
        <w:t xml:space="preserve"> current reliance on actual operating antenna input power as the most accurate and effective means of ensuring that AM stations adhere to their authorized power limits.</w:t>
      </w:r>
      <w:r>
        <w:rPr>
          <w:rStyle w:val="FootnoteReference"/>
        </w:rPr>
        <w:footnoteReference w:id="81"/>
      </w:r>
    </w:p>
    <w:p w:rsidR="00DC485B" w:rsidP="00DC485B" w14:paraId="4A4F1168" w14:textId="3B587853">
      <w:pPr>
        <w:pStyle w:val="ParaNum"/>
        <w:numPr>
          <w:ilvl w:val="0"/>
          <w:numId w:val="16"/>
        </w:numPr>
      </w:pPr>
      <w:r>
        <w:t>U</w:t>
      </w:r>
      <w:r w:rsidRPr="00531D23">
        <w:t>pdat</w:t>
      </w:r>
      <w:r>
        <w:t>es</w:t>
      </w:r>
      <w:r w:rsidRPr="00531D23">
        <w:t xml:space="preserve"> </w:t>
      </w:r>
      <w:r>
        <w:t xml:space="preserve">several </w:t>
      </w:r>
      <w:r w:rsidRPr="00531D23">
        <w:t xml:space="preserve">rule provisions containing an </w:t>
      </w:r>
      <w:r>
        <w:t>obsolete noncommercial educational (</w:t>
      </w:r>
      <w:r w:rsidRPr="00531D23">
        <w:t>NCE</w:t>
      </w:r>
      <w:r>
        <w:t>)</w:t>
      </w:r>
      <w:r w:rsidRPr="00531D23">
        <w:t xml:space="preserve"> FM community of license coverage </w:t>
      </w:r>
      <w:r>
        <w:t>standard to harmonize with the later-adopted, more specific, NCE community of license coverage requirement.</w:t>
      </w:r>
      <w:r>
        <w:rPr>
          <w:rStyle w:val="FootnoteReference"/>
        </w:rPr>
        <w:footnoteReference w:id="82"/>
      </w:r>
      <w:r>
        <w:t xml:space="preserve"> </w:t>
      </w:r>
    </w:p>
    <w:p w:rsidR="00DC485B" w:rsidP="00DC485B" w14:paraId="565BA264" w14:textId="5561606B">
      <w:pPr>
        <w:pStyle w:val="ParaNum"/>
        <w:numPr>
          <w:ilvl w:val="0"/>
          <w:numId w:val="16"/>
        </w:numPr>
      </w:pPr>
      <w:r>
        <w:t>U</w:t>
      </w:r>
      <w:r w:rsidRPr="00531D23">
        <w:t>pdat</w:t>
      </w:r>
      <w:r>
        <w:t>es</w:t>
      </w:r>
      <w:r w:rsidRPr="00531D23">
        <w:t xml:space="preserve"> the signal strength contour overlap requirements for NCE FM Class D stations to harmonize with the contour overlap requirements for all other </w:t>
      </w:r>
      <w:r>
        <w:t xml:space="preserve">classes of </w:t>
      </w:r>
      <w:r w:rsidRPr="00531D23">
        <w:t>NCE FM stations</w:t>
      </w:r>
      <w:r>
        <w:t>.  The Commission concludes that there is no reason to continue treating Class D stations differently in this context and that a less preclusive standard will create opportunities for NCE stations to increase power and coverage, as well as provide them with greater site selection flexibility.</w:t>
      </w:r>
      <w:r>
        <w:rPr>
          <w:rStyle w:val="FootnoteReference"/>
        </w:rPr>
        <w:footnoteReference w:id="83"/>
      </w:r>
    </w:p>
    <w:p w:rsidR="00DC485B" w:rsidP="00DC485B" w14:paraId="1471A77A" w14:textId="72EE8572">
      <w:pPr>
        <w:pStyle w:val="ParaNum"/>
        <w:numPr>
          <w:ilvl w:val="0"/>
          <w:numId w:val="16"/>
        </w:numPr>
      </w:pPr>
      <w:r>
        <w:t xml:space="preserve"> E</w:t>
      </w:r>
      <w:r w:rsidRPr="00531D23">
        <w:t>liminat</w:t>
      </w:r>
      <w:r>
        <w:t>es</w:t>
      </w:r>
      <w:r w:rsidRPr="00531D23">
        <w:t xml:space="preserve"> the requirement for </w:t>
      </w:r>
      <w:r>
        <w:t xml:space="preserve">radio </w:t>
      </w:r>
      <w:r w:rsidRPr="00531D23">
        <w:t>broadcast services to protect grandfathered common carrier services in Alaska operating in the 76-100 MHz frequency band</w:t>
      </w:r>
      <w:r>
        <w:t>.  This requirement is no longer necessary as there are no more common carriers in this band in Alaska.</w:t>
      </w:r>
      <w:r>
        <w:rPr>
          <w:rStyle w:val="FootnoteReference"/>
        </w:rPr>
        <w:footnoteReference w:id="84"/>
      </w:r>
      <w:r>
        <w:t xml:space="preserve"> </w:t>
      </w:r>
    </w:p>
    <w:p w:rsidR="00DC485B" w:rsidP="00DC485B" w14:paraId="6732C24B" w14:textId="2245786F">
      <w:pPr>
        <w:pStyle w:val="ParaNum"/>
        <w:numPr>
          <w:ilvl w:val="0"/>
          <w:numId w:val="16"/>
        </w:numPr>
      </w:pPr>
      <w:r>
        <w:t>H</w:t>
      </w:r>
      <w:r w:rsidRPr="00531D23">
        <w:t>armoniz</w:t>
      </w:r>
      <w:r>
        <w:t>es</w:t>
      </w:r>
      <w:r w:rsidRPr="00531D23">
        <w:t xml:space="preserve"> the definition of an “AM fill-in area” set out in multiple rule sections</w:t>
      </w:r>
      <w:r>
        <w:t>.  This correction applies the most up-to-date definition of “AM fill-in area” consistently across the relevant rules.</w:t>
      </w:r>
      <w:r>
        <w:rPr>
          <w:rStyle w:val="FootnoteReference"/>
        </w:rPr>
        <w:footnoteReference w:id="85"/>
      </w:r>
      <w:r>
        <w:t xml:space="preserve"> </w:t>
      </w:r>
    </w:p>
    <w:p w:rsidR="00DC485B" w:rsidP="00DC485B" w14:paraId="2154A252" w14:textId="73083187">
      <w:pPr>
        <w:pStyle w:val="ParaNum"/>
        <w:numPr>
          <w:ilvl w:val="0"/>
          <w:numId w:val="16"/>
        </w:numPr>
      </w:pPr>
      <w:r>
        <w:t>A</w:t>
      </w:r>
      <w:r w:rsidRPr="00531D23">
        <w:t>mend</w:t>
      </w:r>
      <w:r>
        <w:t>s</w:t>
      </w:r>
      <w:r w:rsidRPr="00531D23">
        <w:t xml:space="preserve"> </w:t>
      </w:r>
      <w:r>
        <w:t>regulations applicable to</w:t>
      </w:r>
      <w:r w:rsidRPr="00531D23">
        <w:t xml:space="preserve"> </w:t>
      </w:r>
      <w:r>
        <w:t xml:space="preserve">broadcast stations </w:t>
      </w:r>
      <w:r w:rsidRPr="00531D23">
        <w:t xml:space="preserve">within 320 kilometers of the Mexican and Canadian borders to </w:t>
      </w:r>
      <w:r>
        <w:t xml:space="preserve">implement the most </w:t>
      </w:r>
      <w:r w:rsidRPr="00531D23">
        <w:t>current treaty provisions.</w:t>
      </w:r>
      <w:r>
        <w:rPr>
          <w:rStyle w:val="FootnoteReference"/>
        </w:rPr>
        <w:footnoteReference w:id="86"/>
      </w:r>
    </w:p>
    <w:p w:rsidR="00DC485B" w:rsidP="00DC485B" w14:paraId="46E3ECEB" w14:textId="77777777">
      <w:pPr>
        <w:pStyle w:val="ParaNum"/>
      </w:pPr>
      <w:r>
        <w:t>Amending these rules to accurately reflect current requirements will reduce potential confusion and eliminate unnecessary burdens on broadcasters.</w:t>
      </w:r>
    </w:p>
    <w:p w:rsidR="00DC485B" w:rsidP="00253246" w14:paraId="3104D800" w14:textId="77777777">
      <w:pPr>
        <w:pStyle w:val="Heading2"/>
      </w:pPr>
      <w:r>
        <w:t>Summary of Significant Issues Raised by Public Comments in Response to the IRFA</w:t>
      </w:r>
      <w:bookmarkEnd w:id="40"/>
      <w:bookmarkEnd w:id="41"/>
      <w:bookmarkEnd w:id="42"/>
      <w:bookmarkEnd w:id="43"/>
    </w:p>
    <w:p w:rsidR="00DC485B" w:rsidP="00DC485B" w14:paraId="21DF4FAB" w14:textId="77777777">
      <w:pPr>
        <w:pStyle w:val="ParaNum"/>
      </w:pPr>
      <w:r w:rsidRPr="00A27265">
        <w:t>There</w:t>
      </w:r>
      <w:r>
        <w:t xml:space="preserve"> were no comments to the IRFA filed.</w:t>
      </w:r>
    </w:p>
    <w:p w:rsidR="00DC485B" w:rsidP="00253246" w14:paraId="0F001A88" w14:textId="77777777">
      <w:pPr>
        <w:pStyle w:val="Heading2"/>
      </w:pPr>
      <w:bookmarkStart w:id="44" w:name="_Toc50566018"/>
      <w:bookmarkStart w:id="45" w:name="_Toc52786417"/>
      <w:bookmarkStart w:id="46" w:name="_Toc419896058"/>
      <w:bookmarkStart w:id="47" w:name="_Toc419898389"/>
      <w:r>
        <w:t>Response to comments by the Chief Counsel for Advocacy of the Small Business Administration</w:t>
      </w:r>
      <w:bookmarkEnd w:id="44"/>
      <w:bookmarkEnd w:id="45"/>
    </w:p>
    <w:p w:rsidR="00DC485B" w:rsidP="00DC485B" w14:paraId="12068ADB" w14:textId="77777777">
      <w:pPr>
        <w:pStyle w:val="ParaNum"/>
      </w:pPr>
      <w:r>
        <w:t xml:space="preserve">Pursuant to the Small Business Jobs Act of 2010, which amended the RFA, the Commission is </w:t>
      </w:r>
      <w:r w:rsidRPr="00A27265">
        <w:rPr>
          <w:szCs w:val="22"/>
        </w:rPr>
        <w:t>required</w:t>
      </w:r>
      <w:r>
        <w:t xml:space="preserve">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87"/>
      </w:r>
      <w:r>
        <w:t xml:space="preserve">  The Chief Counsel did not file any comments in response to the proposed rules in this proceeding.</w:t>
      </w:r>
    </w:p>
    <w:p w:rsidR="00DC485B" w:rsidP="00253246" w14:paraId="2009B6EC" w14:textId="77777777">
      <w:pPr>
        <w:pStyle w:val="Heading2"/>
      </w:pPr>
      <w:bookmarkStart w:id="48" w:name="_Toc50566019"/>
      <w:bookmarkStart w:id="49" w:name="_Toc52786418"/>
      <w:r>
        <w:t>Description and Estimate of the Number of Small Entities to Which the Rules Apply</w:t>
      </w:r>
      <w:bookmarkEnd w:id="46"/>
      <w:bookmarkEnd w:id="47"/>
      <w:bookmarkEnd w:id="48"/>
      <w:bookmarkEnd w:id="49"/>
    </w:p>
    <w:p w:rsidR="00DC485B" w:rsidP="00DC485B" w14:paraId="2FBB3A87" w14:textId="77777777">
      <w:pPr>
        <w:pStyle w:val="ParaNum"/>
      </w:pPr>
      <w:r>
        <w:t xml:space="preserve">The RFA directs the Commission to provide a description of and, where feasible, an estimate of the number of </w:t>
      </w:r>
      <w:r w:rsidRPr="00A27265">
        <w:t>small</w:t>
      </w:r>
      <w:r>
        <w:t xml:space="preserve"> entities that will be affected by the rules adopted herein.</w:t>
      </w:r>
      <w:r>
        <w:rPr>
          <w:rStyle w:val="FootnoteReference"/>
          <w:szCs w:val="22"/>
        </w:rPr>
        <w:footnoteReference w:id="88"/>
      </w:r>
      <w:r>
        <w:t xml:space="preserve">  The RFA generally defines the term “small entity” as having the same meaning as the terms “small business,” “small organization,” and “small government jurisdiction.”</w:t>
      </w:r>
      <w:r>
        <w:rPr>
          <w:rStyle w:val="FootnoteReference"/>
          <w:szCs w:val="22"/>
        </w:rPr>
        <w:footnoteReference w:id="89"/>
      </w:r>
      <w:r>
        <w:t xml:space="preserve">  In addition, the term “small business” has the same meaning as the term “small business concern” under the Small Business Act.</w:t>
      </w:r>
      <w:r>
        <w:rPr>
          <w:rStyle w:val="FootnoteReference"/>
          <w:szCs w:val="22"/>
        </w:rPr>
        <w:footnoteReference w:id="90"/>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91"/>
      </w:r>
    </w:p>
    <w:p w:rsidR="00DC485B" w:rsidRPr="00B15A12" w:rsidP="00FD096B" w14:paraId="3CC108C3" w14:textId="77777777">
      <w:pPr>
        <w:pStyle w:val="ParaNum"/>
        <w:widowControl/>
      </w:pPr>
      <w:r w:rsidRPr="00B15A12">
        <w:rPr>
          <w:bCs/>
          <w:i/>
          <w:iCs/>
        </w:rPr>
        <w:t>Radio Stations</w:t>
      </w:r>
      <w:r w:rsidRPr="002A291F">
        <w:t xml:space="preserve">. </w:t>
      </w:r>
      <w:r>
        <w:t xml:space="preserve"> Radio stations are an</w:t>
      </w:r>
      <w:r w:rsidRPr="009D4B03">
        <w:t xml:space="preserve"> Economic Census category </w:t>
      </w:r>
      <w:r>
        <w:t xml:space="preserve">that </w:t>
      </w:r>
      <w:r w:rsidRPr="009D4B03">
        <w:t>“comprises establishments primarily engaged in broadcasting aural programs by radio to the public.</w:t>
      </w:r>
      <w:r>
        <w:t xml:space="preserve"> </w:t>
      </w:r>
      <w:r w:rsidRPr="009D4B03">
        <w:t xml:space="preserve"> Programming may originate in their own studio, from an affiliated network, or from external sources.”</w:t>
      </w:r>
      <w:r>
        <w:rPr>
          <w:vertAlign w:val="superscript"/>
        </w:rPr>
        <w:footnoteReference w:id="92"/>
      </w:r>
      <w:r w:rsidRPr="009D4B03">
        <w:t xml:space="preserve">  The SBA has established a small business size standard for this category as firms having $</w:t>
      </w:r>
      <w:r>
        <w:t>41.5</w:t>
      </w:r>
      <w:r w:rsidRPr="009D4B03">
        <w:t xml:space="preserve"> million or less in annual receipts.</w:t>
      </w:r>
      <w:r>
        <w:rPr>
          <w:vertAlign w:val="superscript"/>
        </w:rPr>
        <w:footnoteReference w:id="93"/>
      </w:r>
      <w:r w:rsidRPr="009D4B03">
        <w:t xml:space="preserve">  Economic Census data for 2012 shows that 2,849 radio station firms operated during that year.</w:t>
      </w:r>
      <w:r>
        <w:rPr>
          <w:vertAlign w:val="superscript"/>
        </w:rPr>
        <w:footnoteReference w:id="94"/>
      </w:r>
      <w:r w:rsidRPr="009D4B03">
        <w:t xml:space="preserve">  Of that number, 2,806 operated with annual receipts of less than $25 million per year, </w:t>
      </w:r>
      <w:r>
        <w:t>and 43 firms had</w:t>
      </w:r>
      <w:r w:rsidRPr="009D4B03">
        <w:t xml:space="preserve"> annual receipts </w:t>
      </w:r>
      <w:r>
        <w:t>of</w:t>
      </w:r>
      <w:r w:rsidRPr="009D4B03">
        <w:t xml:space="preserve"> $25 million or more.</w:t>
      </w:r>
      <w:r>
        <w:rPr>
          <w:vertAlign w:val="superscript"/>
        </w:rPr>
        <w:footnoteReference w:id="95"/>
      </w:r>
      <w:r>
        <w:t xml:space="preserve">  Because the Census has no additional classifications that could serve as a basis for determining the number of stations whose receipts exceeded $41.5 million </w:t>
      </w:r>
      <w:r>
        <w:t>in that year, we conclude that the majority of radio broadcast stations were small entities under t</w:t>
      </w:r>
      <w:r w:rsidRPr="009D4B03">
        <w:t xml:space="preserve">he </w:t>
      </w:r>
      <w:r>
        <w:t xml:space="preserve">applicable </w:t>
      </w:r>
      <w:r w:rsidRPr="009D4B03">
        <w:t>SBA size standard.</w:t>
      </w:r>
      <w:r w:rsidRPr="00B15A12">
        <w:rPr>
          <w:i/>
        </w:rPr>
        <w:t xml:space="preserve"> </w:t>
      </w:r>
      <w:bookmarkStart w:id="50" w:name="FN[FN81]"/>
      <w:bookmarkStart w:id="51" w:name="FN[FN82]"/>
      <w:bookmarkStart w:id="52" w:name="sp_999_63"/>
      <w:bookmarkStart w:id="53" w:name="SDU_63"/>
      <w:bookmarkStart w:id="54" w:name="SR;24408"/>
      <w:bookmarkStart w:id="55" w:name="FN[FN238]"/>
      <w:bookmarkStart w:id="56" w:name="SR;24428"/>
      <w:bookmarkEnd w:id="50"/>
      <w:bookmarkEnd w:id="51"/>
      <w:bookmarkEnd w:id="52"/>
      <w:bookmarkEnd w:id="53"/>
      <w:bookmarkEnd w:id="54"/>
      <w:bookmarkEnd w:id="55"/>
      <w:bookmarkEnd w:id="56"/>
      <w:r w:rsidRPr="00B15A12">
        <w:rPr>
          <w:i/>
        </w:rPr>
        <w:t xml:space="preserve"> </w:t>
      </w:r>
    </w:p>
    <w:p w:rsidR="00DC485B" w:rsidRPr="006465D5" w:rsidP="00DC485B" w14:paraId="5479F1C3" w14:textId="77777777">
      <w:pPr>
        <w:pStyle w:val="ParaNum"/>
      </w:pPr>
      <w:r>
        <w:t xml:space="preserve"> Apart from the U.S. Census, the Commission has estimated the number of licensed commercial AM stations to be 4,509 and the number of commercial FM stations to be 6,676 for a total of 11,185, along with 8,866 FM translator and booster stations.</w:t>
      </w:r>
      <w:r>
        <w:rPr>
          <w:rStyle w:val="FootnoteReference"/>
        </w:rPr>
        <w:footnoteReference w:id="96"/>
      </w:r>
      <w:r>
        <w:t xml:space="preserve">  </w:t>
      </w:r>
      <w:r w:rsidRPr="003E333E">
        <w:t xml:space="preserve">According to BIA/Kelsey Publications, Inc.’s Media Access Pro Database, </w:t>
      </w:r>
      <w:r>
        <w:t>as of</w:t>
      </w:r>
      <w:r w:rsidRPr="003E333E">
        <w:t xml:space="preserve"> March 20</w:t>
      </w:r>
      <w:r>
        <w:t>20</w:t>
      </w:r>
      <w:r w:rsidRPr="003E333E">
        <w:t>,</w:t>
      </w:r>
      <w:r>
        <w:t xml:space="preserve"> 4,389 AM stations and 6,767 FM stations had revenues of $41.5 million or less. </w:t>
      </w:r>
      <w:r w:rsidRPr="003E333E">
        <w:t xml:space="preserve"> </w:t>
      </w:r>
      <w:r>
        <w:t>In addition, the Commission has estimated the number of noncommercial educational FM radio stations to be 4,204.</w:t>
      </w:r>
      <w:r>
        <w:rPr>
          <w:rStyle w:val="FootnoteReference"/>
        </w:rPr>
        <w:footnoteReference w:id="97"/>
      </w:r>
      <w:r>
        <w:t xml:space="preserve">  NCE stations are non-profit, and therefore considered to be small entities.</w:t>
      </w:r>
      <w:r w:rsidRPr="00412338">
        <w:t xml:space="preserve"> </w:t>
      </w:r>
      <w:r>
        <w:t xml:space="preserve">Accordingly, we estimate that the majority of radio broadcast stations are small entities.  </w:t>
      </w:r>
      <w:r w:rsidRPr="001268D1">
        <w:rPr>
          <w:szCs w:val="22"/>
        </w:rPr>
        <w:t>We note, however, that, in assessing whether a business concern qualifies as small under the above definition, business (control) affiliations</w:t>
      </w:r>
      <w:r>
        <w:rPr>
          <w:rStyle w:val="FootnoteReference"/>
          <w:szCs w:val="22"/>
        </w:rPr>
        <w:footnoteReference w:id="98"/>
      </w:r>
      <w:r w:rsidRPr="001268D1">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DC485B" w:rsidP="00DC485B" w14:paraId="653CA645" w14:textId="77777777">
      <w:pPr>
        <w:pStyle w:val="ParaNum"/>
      </w:pPr>
      <w:r>
        <w:t>Moreover, a</w:t>
      </w:r>
      <w:r w:rsidRPr="003E333E">
        <w:t>s noted above,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57" w:name="sp_999_31"/>
      <w:bookmarkStart w:id="58" w:name="SDU_31"/>
      <w:bookmarkStart w:id="59" w:name="FN[FN232]"/>
      <w:bookmarkEnd w:id="57"/>
      <w:bookmarkEnd w:id="58"/>
      <w:bookmarkEnd w:id="59"/>
      <w:r w:rsidRPr="003E333E">
        <w:t xml:space="preserve">  </w:t>
      </w:r>
    </w:p>
    <w:p w:rsidR="00DC485B" w:rsidP="00253246" w14:paraId="62C39C80" w14:textId="77777777">
      <w:pPr>
        <w:pStyle w:val="Heading2"/>
      </w:pPr>
      <w:bookmarkStart w:id="60" w:name="_Toc419896059"/>
      <w:bookmarkStart w:id="61" w:name="_Toc419898390"/>
      <w:bookmarkStart w:id="62" w:name="_Toc50566020"/>
      <w:bookmarkStart w:id="63" w:name="_Toc52786419"/>
      <w:r>
        <w:t>Description of Projected Reporting, Record Keeping and Other Compliance Requirements</w:t>
      </w:r>
      <w:bookmarkEnd w:id="60"/>
      <w:bookmarkEnd w:id="61"/>
      <w:bookmarkEnd w:id="62"/>
      <w:bookmarkEnd w:id="63"/>
    </w:p>
    <w:p w:rsidR="00DC485B" w:rsidRPr="00050778" w:rsidP="00DC485B" w14:paraId="0557C8E0" w14:textId="77777777">
      <w:pPr>
        <w:pStyle w:val="ParaNum"/>
      </w:pPr>
      <w:r>
        <w:t xml:space="preserve">The rule changes adopted in the </w:t>
      </w:r>
      <w:r>
        <w:rPr>
          <w:i/>
        </w:rPr>
        <w:t xml:space="preserve">Report and Order </w:t>
      </w:r>
      <w:r>
        <w:t xml:space="preserve">do not include any notification or recordkeeping requirements. </w:t>
      </w:r>
    </w:p>
    <w:p w:rsidR="00DC485B" w:rsidP="00253246" w14:paraId="13C1DBD8" w14:textId="77777777">
      <w:pPr>
        <w:pStyle w:val="Heading2"/>
      </w:pPr>
      <w:bookmarkStart w:id="64" w:name="_Toc419896060"/>
      <w:bookmarkStart w:id="65" w:name="_Toc419898391"/>
      <w:bookmarkStart w:id="66" w:name="_Toc50566021"/>
      <w:bookmarkStart w:id="67" w:name="_Toc52786420"/>
      <w:r>
        <w:t>Steps Taken to Minimize Significant Impact on Small Entities, and Significant Alternatives Considered</w:t>
      </w:r>
      <w:bookmarkEnd w:id="64"/>
      <w:bookmarkEnd w:id="65"/>
      <w:bookmarkEnd w:id="66"/>
      <w:bookmarkEnd w:id="67"/>
    </w:p>
    <w:p w:rsidR="00DC485B" w:rsidP="00DC485B" w14:paraId="0F1BB63A"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99"/>
      </w:r>
    </w:p>
    <w:p w:rsidR="00DC485B" w:rsidP="00DC485B" w14:paraId="352A90DC" w14:textId="3A7D20A6">
      <w:pPr>
        <w:pStyle w:val="ParaNum"/>
      </w:pPr>
      <w:r>
        <w:t xml:space="preserve">The rules adopted or amended in the </w:t>
      </w:r>
      <w:r>
        <w:rPr>
          <w:i/>
          <w:iCs/>
        </w:rPr>
        <w:t xml:space="preserve">Report and Order </w:t>
      </w:r>
      <w:r>
        <w:t xml:space="preserve">do not impose any new substantive requirements on broadcast radio stations.  Rather, they clarify existing technical requirements, create consistency across different rules, and ensure that current treaty terms are accurately reflected in the rules.  These measures will help small entities by reducing their need to rely on third parties, such as legal counsel, to understand the rules and comply with regulatory requirements.  Significant alternatives would include leaving the rules as they are; however, in the Commission’s judgment the increased </w:t>
      </w:r>
      <w:r>
        <w:t xml:space="preserve">transparency and certainty under the amended rules would outweigh any benefit of familiarity with the existing rules.  The Commission did take this alternative approach when it </w:t>
      </w:r>
      <w:r w:rsidR="00AF4936">
        <w:t xml:space="preserve">decided to </w:t>
      </w:r>
      <w:r w:rsidR="002745AA">
        <w:t xml:space="preserve">retain </w:t>
      </w:r>
      <w:r>
        <w:t>the proxim</w:t>
      </w:r>
      <w:r w:rsidR="00D220A7">
        <w:t>a</w:t>
      </w:r>
      <w:r>
        <w:t>t</w:t>
      </w:r>
      <w:r w:rsidR="00D220A7">
        <w:t>e interference</w:t>
      </w:r>
      <w:r>
        <w:t xml:space="preserve"> rule set out in section 73.316(d)</w:t>
      </w:r>
      <w:r w:rsidR="002745AA">
        <w:t xml:space="preserve">, responding </w:t>
      </w:r>
      <w:r>
        <w:t xml:space="preserve">to industry feedback that </w:t>
      </w:r>
      <w:r w:rsidR="00771B58">
        <w:t>that rule</w:t>
      </w:r>
      <w:r>
        <w:t xml:space="preserve"> serves a useful purpose.  </w:t>
      </w:r>
    </w:p>
    <w:p w:rsidR="00DC485B" w:rsidP="00253246" w14:paraId="3D040DD5" w14:textId="77777777">
      <w:pPr>
        <w:pStyle w:val="Heading2"/>
      </w:pPr>
      <w:r>
        <w:t>Report to Congress</w:t>
      </w:r>
    </w:p>
    <w:p w:rsidR="00A87BB7" w:rsidRPr="00A87BB7" w:rsidP="00446821" w14:paraId="3A0E201A" w14:textId="54AD46FE">
      <w:pPr>
        <w:pStyle w:val="ParaNum"/>
      </w:pPr>
      <w:bookmarkStart w:id="68" w:name="_Hlk54786302"/>
      <w:r w:rsidRPr="00E73E26">
        <w:t>The Commission will send a copy of this Report and Order, including this FRFA, in a report to Congress and the Government Accountability Office pursuant to the Small Business Regulatory Enforcement Fairness Act of 1996.</w:t>
      </w:r>
      <w:r>
        <w:rPr>
          <w:rStyle w:val="FootnoteReference"/>
          <w:szCs w:val="22"/>
        </w:rPr>
        <w:footnoteReference w:id="100"/>
      </w:r>
      <w:r>
        <w:t xml:space="preserve"> </w:t>
      </w:r>
      <w:r w:rsidRPr="00E73E26">
        <w:t xml:space="preserve"> In addition, the Commission will send a copy of the Report and Order, including the FRFA, to the Chief Counsel for Advocacy of the Small Business Administration.  A copy of the Report and Order and FRFA (or summaries thereof) will also be published in the Federal Register.</w:t>
      </w:r>
      <w:r>
        <w:rPr>
          <w:rStyle w:val="FootnoteReference"/>
        </w:rPr>
        <w:footnoteReference w:id="101"/>
      </w:r>
      <w:bookmarkEnd w:id="68"/>
    </w:p>
    <w:sectPr w:rsidSect="00C7182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55614C" w14:paraId="6BF96C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3DF2" w14:paraId="5AC0ED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A87BB7" w14:paraId="55448A6F" w14:textId="3EE3EF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14:paraId="219728F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E73E26" w14:paraId="6B25D71E" w14:textId="7AB2E14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55614C" w14:paraId="3F1E13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3DF2" w14:paraId="7FED09F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55614C" w14:paraId="25BEF69C"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793DF2" w14:paraId="2A078AF3"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C71828" w14:paraId="690C40DB" w14:textId="2E7A586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1F79" w14:paraId="1DE5DB80" w14:textId="77777777">
      <w:r>
        <w:separator/>
      </w:r>
    </w:p>
  </w:footnote>
  <w:footnote w:type="continuationSeparator" w:id="1">
    <w:p w:rsidR="00051F79" w:rsidP="00C721AC" w14:paraId="463A6B9E" w14:textId="77777777">
      <w:pPr>
        <w:spacing w:before="120"/>
        <w:rPr>
          <w:sz w:val="20"/>
        </w:rPr>
      </w:pPr>
      <w:r>
        <w:rPr>
          <w:sz w:val="20"/>
        </w:rPr>
        <w:t xml:space="preserve">(Continued from previous page)  </w:t>
      </w:r>
      <w:r>
        <w:rPr>
          <w:sz w:val="20"/>
        </w:rPr>
        <w:separator/>
      </w:r>
    </w:p>
  </w:footnote>
  <w:footnote w:type="continuationNotice" w:id="2">
    <w:p w:rsidR="00051F79" w:rsidP="00C721AC" w14:paraId="7B9B76D7" w14:textId="77777777">
      <w:pPr>
        <w:jc w:val="right"/>
        <w:rPr>
          <w:sz w:val="20"/>
        </w:rPr>
      </w:pPr>
      <w:r>
        <w:rPr>
          <w:sz w:val="20"/>
        </w:rPr>
        <w:t>(continued….)</w:t>
      </w:r>
    </w:p>
  </w:footnote>
  <w:footnote w:id="3">
    <w:p w:rsidR="00793DF2" w:rsidRPr="005D39D7" w14:paraId="6CA2921C" w14:textId="58A5228B">
      <w:pPr>
        <w:pStyle w:val="FootnoteText"/>
      </w:pPr>
      <w:r>
        <w:rPr>
          <w:rStyle w:val="FootnoteReference"/>
        </w:rPr>
        <w:footnoteRef/>
      </w:r>
      <w:r>
        <w:t xml:space="preserve"> </w:t>
      </w:r>
      <w:r>
        <w:rPr>
          <w:i/>
          <w:iCs/>
        </w:rPr>
        <w:t>Updating Broadcast Radio Technical Rules</w:t>
      </w:r>
      <w:r>
        <w:t>, Notice of Proposed Rulemaking, 86 FR 43145 (Aug. 6, 2021), FCC 21-84 (July 12, 2021) (</w:t>
      </w:r>
      <w:r>
        <w:rPr>
          <w:i/>
          <w:iCs/>
        </w:rPr>
        <w:t>NPRM</w:t>
      </w:r>
      <w:r>
        <w:t xml:space="preserve">) at 1, </w:t>
      </w:r>
      <w:r>
        <w:rPr>
          <w:i/>
          <w:iCs/>
        </w:rPr>
        <w:t xml:space="preserve">available at </w:t>
      </w:r>
      <w:hyperlink r:id="rId1" w:history="1">
        <w:r w:rsidRPr="00E94565">
          <w:rPr>
            <w:rStyle w:val="Hyperlink"/>
          </w:rPr>
          <w:t>https://www.fcc.gov/document/fcc-proposes-updates-technical-rules-radio-broadcasters</w:t>
        </w:r>
      </w:hyperlink>
      <w:r>
        <w:t xml:space="preserve"> (last visited Dec. 6, 2021)</w:t>
      </w:r>
      <w:r w:rsidRPr="005D39D7">
        <w:t>.</w:t>
      </w:r>
    </w:p>
  </w:footnote>
  <w:footnote w:id="4">
    <w:p w:rsidR="00793DF2" w:rsidRPr="001F175C" w:rsidP="00510C75" w14:paraId="20C62EFD" w14:textId="77777777">
      <w:pPr>
        <w:pStyle w:val="FootnoteText"/>
        <w:widowControl w:val="0"/>
      </w:pPr>
      <w:r>
        <w:rPr>
          <w:rStyle w:val="FootnoteReference"/>
        </w:rPr>
        <w:footnoteRef/>
      </w:r>
      <w:r>
        <w:t xml:space="preserve"> </w:t>
      </w:r>
      <w:r>
        <w:rPr>
          <w:i/>
          <w:iCs/>
        </w:rPr>
        <w:t xml:space="preserve">See </w:t>
      </w:r>
      <w:r>
        <w:t xml:space="preserve">47 CFR §§ 73.1665(b).  </w:t>
      </w:r>
    </w:p>
  </w:footnote>
  <w:footnote w:id="5">
    <w:p w:rsidR="00793DF2" w:rsidRPr="001F175C" w:rsidP="00510C75" w14:paraId="6E05752D" w14:textId="77777777">
      <w:pPr>
        <w:pStyle w:val="FootnoteText"/>
        <w:widowControl w:val="0"/>
      </w:pPr>
      <w:r>
        <w:rPr>
          <w:rStyle w:val="FootnoteReference"/>
        </w:rPr>
        <w:footnoteRef/>
      </w:r>
      <w:r>
        <w:t xml:space="preserve"> </w:t>
      </w:r>
      <w:r>
        <w:rPr>
          <w:i/>
          <w:iCs/>
        </w:rPr>
        <w:t xml:space="preserve">See </w:t>
      </w:r>
      <w:r>
        <w:t>47 CFR §§ 73.316(c)(2)(ix)(B), 73.1690(c)(8)(i), and 73.515.</w:t>
      </w:r>
    </w:p>
  </w:footnote>
  <w:footnote w:id="6">
    <w:p w:rsidR="00793DF2" w:rsidRPr="001F175C" w:rsidP="00510C75" w14:paraId="626D344F" w14:textId="77777777">
      <w:pPr>
        <w:pStyle w:val="FootnoteText"/>
        <w:widowControl w:val="0"/>
      </w:pPr>
      <w:r>
        <w:rPr>
          <w:rStyle w:val="FootnoteReference"/>
        </w:rPr>
        <w:footnoteRef/>
      </w:r>
      <w:r>
        <w:t xml:space="preserve"> </w:t>
      </w:r>
      <w:r>
        <w:rPr>
          <w:i/>
          <w:iCs/>
        </w:rPr>
        <w:t xml:space="preserve">See </w:t>
      </w:r>
      <w:r>
        <w:t>47 CFR § 73.316(d).</w:t>
      </w:r>
    </w:p>
  </w:footnote>
  <w:footnote w:id="7">
    <w:p w:rsidR="00793DF2" w:rsidRPr="001F175C" w:rsidP="00510C75" w14:paraId="127CA95F" w14:textId="77777777">
      <w:pPr>
        <w:pStyle w:val="FootnoteText"/>
        <w:widowControl w:val="0"/>
      </w:pPr>
      <w:r>
        <w:rPr>
          <w:rStyle w:val="FootnoteReference"/>
        </w:rPr>
        <w:footnoteRef/>
      </w:r>
      <w:r>
        <w:t xml:space="preserve"> </w:t>
      </w:r>
      <w:r>
        <w:rPr>
          <w:i/>
          <w:iCs/>
        </w:rPr>
        <w:t xml:space="preserve">See </w:t>
      </w:r>
      <w:r>
        <w:t>47 CFR § 73.509(a), (b).</w:t>
      </w:r>
    </w:p>
  </w:footnote>
  <w:footnote w:id="8">
    <w:p w:rsidR="00793DF2" w:rsidP="00510C75" w14:paraId="537A5FDA" w14:textId="77777777">
      <w:pPr>
        <w:pStyle w:val="FootnoteText"/>
        <w:widowControl w:val="0"/>
      </w:pPr>
      <w:r>
        <w:rPr>
          <w:rStyle w:val="FootnoteReference"/>
        </w:rPr>
        <w:footnoteRef/>
      </w:r>
      <w:r>
        <w:t xml:space="preserve"> </w:t>
      </w:r>
      <w:r>
        <w:rPr>
          <w:i/>
          <w:iCs/>
        </w:rPr>
        <w:t xml:space="preserve">See </w:t>
      </w:r>
      <w:r>
        <w:t xml:space="preserve">47 CFR §§ </w:t>
      </w:r>
      <w:r w:rsidRPr="001F175C">
        <w:t xml:space="preserve">73.501(b) (NCE </w:t>
      </w:r>
      <w:r>
        <w:t xml:space="preserve">FM </w:t>
      </w:r>
      <w:r w:rsidRPr="001F175C">
        <w:t>stations), 74.1202(b)(3) (</w:t>
      </w:r>
      <w:r>
        <w:t xml:space="preserve">FM </w:t>
      </w:r>
      <w:r w:rsidRPr="001F175C">
        <w:t>translator stations), 74.702(a)(1) (</w:t>
      </w:r>
      <w:r>
        <w:t>LPTV and TV translator stations</w:t>
      </w:r>
      <w:r w:rsidRPr="001F175C">
        <w:t xml:space="preserve">), and 74.786(b) (digital </w:t>
      </w:r>
      <w:r>
        <w:t>LPTV and TV translator stations</w:t>
      </w:r>
      <w:r w:rsidRPr="001F175C">
        <w:t>)</w:t>
      </w:r>
      <w:r>
        <w:t>.</w:t>
      </w:r>
    </w:p>
  </w:footnote>
  <w:footnote w:id="9">
    <w:p w:rsidR="00793DF2" w:rsidP="00510C75" w14:paraId="18BC0CD5" w14:textId="77777777">
      <w:pPr>
        <w:pStyle w:val="FootnoteText"/>
        <w:widowControl w:val="0"/>
      </w:pPr>
      <w:r>
        <w:rPr>
          <w:rStyle w:val="FootnoteReference"/>
        </w:rPr>
        <w:footnoteRef/>
      </w:r>
      <w:r>
        <w:t xml:space="preserve"> </w:t>
      </w:r>
      <w:r>
        <w:rPr>
          <w:i/>
          <w:iCs/>
        </w:rPr>
        <w:t xml:space="preserve">See </w:t>
      </w:r>
      <w:r>
        <w:t>47 CFR §§ 74.1201(j), (g).</w:t>
      </w:r>
    </w:p>
  </w:footnote>
  <w:footnote w:id="10">
    <w:p w:rsidR="00793DF2" w:rsidP="00510C75" w14:paraId="01450AAB" w14:textId="1F6E79DE">
      <w:pPr>
        <w:pStyle w:val="FootnoteText"/>
        <w:widowControl w:val="0"/>
      </w:pPr>
      <w:r>
        <w:rPr>
          <w:rStyle w:val="FootnoteReference"/>
        </w:rPr>
        <w:footnoteRef/>
      </w:r>
      <w:r>
        <w:t xml:space="preserve"> 47 CFR §§ 73.207(b); 74.1235(d).</w:t>
      </w:r>
    </w:p>
  </w:footnote>
  <w:footnote w:id="11">
    <w:p w:rsidR="00793DF2" w:rsidRPr="00370021" w14:paraId="65078DE2" w14:textId="593FE53A">
      <w:pPr>
        <w:pStyle w:val="FootnoteText"/>
      </w:pPr>
      <w:r>
        <w:rPr>
          <w:rStyle w:val="FootnoteReference"/>
        </w:rPr>
        <w:footnoteRef/>
      </w:r>
      <w:r>
        <w:t xml:space="preserve"> Five commenters and two reply commenters submitted comments in this proceeding, listed in Appendix A, </w:t>
      </w:r>
      <w:r>
        <w:rPr>
          <w:i/>
          <w:iCs/>
        </w:rPr>
        <w:t>infra</w:t>
      </w:r>
      <w:r>
        <w:t xml:space="preserve">.  Two commenters suggest rule changes that are outside the scope of this proceeding, as they do not relate to the measures proposed in the </w:t>
      </w:r>
      <w:r>
        <w:rPr>
          <w:i/>
          <w:iCs/>
        </w:rPr>
        <w:t>NPRM</w:t>
      </w:r>
      <w:r>
        <w:t xml:space="preserve"> and therefore we lack an adequate record regarding these suggested changes.  For this reason, we will not consider REC’s proposals that we amend section 73.809(a) to clarify the IF protection requirements for LPFM stations.  </w:t>
      </w:r>
      <w:r>
        <w:rPr>
          <w:i/>
          <w:iCs/>
        </w:rPr>
        <w:t xml:space="preserve">See </w:t>
      </w:r>
      <w:r>
        <w:t xml:space="preserve">REC Comments at 2-4.  Likewise, we will not consider Schober’s suggestion that we: (1) modify section 73.509(b) to eliminate third-adjacent protections for Class D stations; (2) eliminate sections 73.512(a) and (b); and (3) modify sections 73.506,  73.510, 73.512(d), and 73.558.  </w:t>
      </w:r>
    </w:p>
  </w:footnote>
  <w:footnote w:id="12">
    <w:p w:rsidR="00793DF2" w:rsidP="002650C2" w14:paraId="074F4460" w14:textId="77777777">
      <w:pPr>
        <w:pStyle w:val="FootnoteText"/>
        <w:widowControl w:val="0"/>
      </w:pPr>
      <w:r>
        <w:rPr>
          <w:rStyle w:val="FootnoteReference"/>
        </w:rPr>
        <w:footnoteRef/>
      </w:r>
      <w:r>
        <w:t xml:space="preserve"> The maximum rated carrier power is defined as the “maximum </w:t>
      </w:r>
      <w:r w:rsidRPr="002353CC">
        <w:t>power at which the transmitter can be operated satisfactorily and is determined by the design of the transmitter and the type and number of vacuum tubes or other amplifier devices used in the last radio stage.</w:t>
      </w:r>
      <w:r>
        <w:t xml:space="preserve">”  47 CFR § 73.14.  The maximum rated power is typically set out by the manufacturer in the transmitter technical specifications. </w:t>
      </w:r>
    </w:p>
  </w:footnote>
  <w:footnote w:id="13">
    <w:p w:rsidR="00793DF2" w:rsidP="002650C2" w14:paraId="06FECABB" w14:textId="2FACE9A9">
      <w:pPr>
        <w:pStyle w:val="FootnoteText"/>
        <w:widowControl w:val="0"/>
      </w:pPr>
      <w:r>
        <w:rPr>
          <w:rStyle w:val="FootnoteReference"/>
        </w:rPr>
        <w:footnoteRef/>
      </w:r>
      <w:r>
        <w:t xml:space="preserve"> </w:t>
      </w:r>
      <w:r>
        <w:rPr>
          <w:i/>
          <w:iCs/>
        </w:rPr>
        <w:t>See NPRM</w:t>
      </w:r>
      <w:r>
        <w:t xml:space="preserve"> at </w:t>
      </w:r>
      <w:r w:rsidRPr="00F72988">
        <w:t>2</w:t>
      </w:r>
      <w:r>
        <w:t>, para. 3.</w:t>
      </w:r>
    </w:p>
  </w:footnote>
  <w:footnote w:id="14">
    <w:p w:rsidR="00793DF2" w14:paraId="07A8B81A" w14:textId="25013DF6">
      <w:pPr>
        <w:pStyle w:val="FootnoteText"/>
      </w:pPr>
      <w:r>
        <w:rPr>
          <w:rStyle w:val="FootnoteReference"/>
        </w:rPr>
        <w:footnoteRef/>
      </w:r>
      <w:r>
        <w:t xml:space="preserve"> </w:t>
      </w:r>
      <w:r>
        <w:rPr>
          <w:i/>
          <w:iCs/>
        </w:rPr>
        <w:t>See</w:t>
      </w:r>
      <w:r>
        <w:t xml:space="preserve"> Read Comments at 1; Schober Comments at 1; REC Comments at 2; NAB Comments at 2; Cohen, </w:t>
      </w:r>
      <w:r>
        <w:t>Dippell</w:t>
      </w:r>
      <w:r>
        <w:t xml:space="preserve"> and </w:t>
      </w:r>
      <w:r>
        <w:t>Everist</w:t>
      </w:r>
      <w:r>
        <w:t xml:space="preserve"> Comments at 1; Cohen, </w:t>
      </w:r>
      <w:r>
        <w:t>Dippell</w:t>
      </w:r>
      <w:r>
        <w:t xml:space="preserve"> and </w:t>
      </w:r>
      <w:r>
        <w:t>Everist</w:t>
      </w:r>
      <w:r>
        <w:t xml:space="preserve"> Reply Comments at 2.</w:t>
      </w:r>
    </w:p>
  </w:footnote>
  <w:footnote w:id="15">
    <w:p w:rsidR="00793DF2" w:rsidRPr="00540AAF" w:rsidP="00EC7BAA" w14:paraId="275DEC37" w14:textId="7392B1A1">
      <w:pPr>
        <w:pStyle w:val="FootnoteText"/>
      </w:pPr>
      <w:r>
        <w:rPr>
          <w:rStyle w:val="FootnoteReference"/>
        </w:rPr>
        <w:footnoteRef/>
      </w:r>
      <w:r>
        <w:t xml:space="preserve"> </w:t>
      </w:r>
      <w:r>
        <w:rPr>
          <w:i/>
          <w:iCs/>
        </w:rPr>
        <w:t xml:space="preserve">See </w:t>
      </w:r>
      <w:r>
        <w:t>47 CFR §§ 73.51; 73.1560(a)(1).</w:t>
      </w:r>
    </w:p>
  </w:footnote>
  <w:footnote w:id="16">
    <w:p w:rsidR="00793DF2" w14:paraId="405683DF" w14:textId="42E58AED">
      <w:pPr>
        <w:pStyle w:val="FootnoteText"/>
      </w:pPr>
      <w:r>
        <w:rPr>
          <w:rStyle w:val="FootnoteReference"/>
        </w:rPr>
        <w:footnoteRef/>
      </w:r>
      <w:r>
        <w:t xml:space="preserve"> NAB Comments at 2.</w:t>
      </w:r>
    </w:p>
  </w:footnote>
  <w:footnote w:id="17">
    <w:p w:rsidR="00793DF2" w:rsidRPr="004F0F50" w14:paraId="624F7D98" w14:textId="0473220B">
      <w:pPr>
        <w:pStyle w:val="FootnoteText"/>
      </w:pPr>
      <w:r>
        <w:rPr>
          <w:rStyle w:val="FootnoteReference"/>
        </w:rPr>
        <w:footnoteRef/>
      </w:r>
      <w:r>
        <w:t xml:space="preserve"> </w:t>
      </w:r>
      <w:r>
        <w:rPr>
          <w:i/>
          <w:iCs/>
        </w:rPr>
        <w:t xml:space="preserve">See NPRM </w:t>
      </w:r>
      <w:r>
        <w:t xml:space="preserve">at </w:t>
      </w:r>
      <w:r w:rsidRPr="00F72988">
        <w:t>2-3</w:t>
      </w:r>
      <w:r>
        <w:t>, para. 4</w:t>
      </w:r>
      <w:r w:rsidRPr="00F72988">
        <w:t>.</w:t>
      </w:r>
    </w:p>
  </w:footnote>
  <w:footnote w:id="18">
    <w:p w:rsidR="00793DF2" w:rsidRPr="00965666" w14:paraId="665C6529" w14:textId="328F4FF0">
      <w:pPr>
        <w:pStyle w:val="FootnoteText"/>
      </w:pPr>
      <w:r>
        <w:rPr>
          <w:rStyle w:val="FootnoteReference"/>
        </w:rPr>
        <w:footnoteRef/>
      </w:r>
      <w:r>
        <w:t xml:space="preserve"> </w:t>
      </w:r>
      <w:r>
        <w:rPr>
          <w:i/>
          <w:iCs/>
        </w:rPr>
        <w:t xml:space="preserve">See </w:t>
      </w:r>
      <w:r>
        <w:t xml:space="preserve">Read Comments at 1; Schober Comments at 1; REC Comments at 2; NAB Comments at 2-3; Cohen, </w:t>
      </w:r>
      <w:r>
        <w:t>Dippell</w:t>
      </w:r>
      <w:r>
        <w:t xml:space="preserve"> and </w:t>
      </w:r>
      <w:r>
        <w:t>Everist</w:t>
      </w:r>
      <w:r>
        <w:t xml:space="preserve"> Comments at 2; Cohen, </w:t>
      </w:r>
      <w:r>
        <w:t>Dippell</w:t>
      </w:r>
      <w:r>
        <w:t xml:space="preserve"> and </w:t>
      </w:r>
      <w:r>
        <w:t>Everist</w:t>
      </w:r>
      <w:r>
        <w:t xml:space="preserve"> Reply Comments at 2.</w:t>
      </w:r>
    </w:p>
  </w:footnote>
  <w:footnote w:id="19">
    <w:p w:rsidR="00793DF2" w14:paraId="70FBF391" w14:textId="4B57483C">
      <w:pPr>
        <w:pStyle w:val="FootnoteText"/>
      </w:pPr>
      <w:r>
        <w:rPr>
          <w:rStyle w:val="FootnoteReference"/>
        </w:rPr>
        <w:footnoteRef/>
      </w:r>
      <w:r>
        <w:t xml:space="preserve"> Section 73.316(c)(2)(ix)(B) applies to NCE FM applications for directional antennas and section 73.1690(c)(8)(i) relates to NCE FM applications for reduced operating power.</w:t>
      </w:r>
    </w:p>
  </w:footnote>
  <w:footnote w:id="20">
    <w:p w:rsidR="00793DF2" w14:paraId="72E6D5AE" w14:textId="2A9B5DA6">
      <w:pPr>
        <w:pStyle w:val="FootnoteText"/>
      </w:pPr>
      <w:r>
        <w:rPr>
          <w:rStyle w:val="FootnoteReference"/>
        </w:rPr>
        <w:footnoteRef/>
      </w:r>
      <w:r>
        <w:t xml:space="preserve"> Read Comments at 1.</w:t>
      </w:r>
    </w:p>
  </w:footnote>
  <w:footnote w:id="21">
    <w:p w:rsidR="00793DF2" w:rsidRPr="00CA61E4" w:rsidP="00B13838" w14:paraId="469B99B7" w14:textId="77777777">
      <w:pPr>
        <w:pStyle w:val="FootnoteText"/>
      </w:pPr>
      <w:r>
        <w:rPr>
          <w:rStyle w:val="FootnoteReference"/>
        </w:rPr>
        <w:footnoteRef/>
      </w:r>
      <w:r>
        <w:t xml:space="preserve"> </w:t>
      </w:r>
      <w:r>
        <w:rPr>
          <w:i/>
          <w:iCs/>
        </w:rPr>
        <w:t xml:space="preserve">See </w:t>
      </w:r>
      <w:r>
        <w:t>47 CFR § 73.315(a).</w:t>
      </w:r>
    </w:p>
  </w:footnote>
  <w:footnote w:id="22">
    <w:p w:rsidR="00793DF2" w:rsidP="0042716D" w14:paraId="430D74F6" w14:textId="6E7B03FB">
      <w:pPr>
        <w:pStyle w:val="FootnoteText"/>
      </w:pPr>
      <w:r>
        <w:rPr>
          <w:rStyle w:val="FootnoteReference"/>
        </w:rPr>
        <w:footnoteRef/>
      </w:r>
      <w:r>
        <w:t xml:space="preserve"> </w:t>
      </w:r>
      <w:r>
        <w:rPr>
          <w:i/>
          <w:iCs/>
        </w:rPr>
        <w:t>1998 Biennial Regulatory Review – Streamlining of Radio Technical Rules in Parts 73 and 74 of the Commission’s Rules</w:t>
      </w:r>
      <w:r>
        <w:t>, Second Report and Order, 15 FCC Rcd 21649,</w:t>
      </w:r>
      <w:r>
        <w:rPr>
          <w:i/>
          <w:iCs/>
        </w:rPr>
        <w:t xml:space="preserve"> </w:t>
      </w:r>
      <w:r>
        <w:t>21670, para. 42 (2000) (</w:t>
      </w:r>
      <w:r>
        <w:rPr>
          <w:i/>
          <w:iCs/>
        </w:rPr>
        <w:t>1998 Biennial Regulatory Review</w:t>
      </w:r>
      <w:r>
        <w:t>).</w:t>
      </w:r>
    </w:p>
  </w:footnote>
  <w:footnote w:id="23">
    <w:p w:rsidR="00793DF2" w:rsidRPr="00037AB0" w14:paraId="20C3A995" w14:textId="755EB6F0">
      <w:pPr>
        <w:pStyle w:val="FootnoteText"/>
      </w:pPr>
      <w:r>
        <w:rPr>
          <w:rStyle w:val="FootnoteReference"/>
        </w:rPr>
        <w:footnoteRef/>
      </w:r>
      <w:r>
        <w:t xml:space="preserve"> </w:t>
      </w:r>
      <w:r>
        <w:rPr>
          <w:i/>
          <w:iCs/>
        </w:rPr>
        <w:t>Id</w:t>
      </w:r>
      <w:r>
        <w:t xml:space="preserve">.  </w:t>
      </w:r>
      <w:r w:rsidRPr="000728A8">
        <w:t xml:space="preserve">NCE licensees are welcome to contact the </w:t>
      </w:r>
      <w:r>
        <w:t>Media Bureau</w:t>
      </w:r>
      <w:r w:rsidRPr="000728A8">
        <w:t xml:space="preserve"> if they have questions about how to calculate their specific coverage requirements. </w:t>
      </w:r>
    </w:p>
  </w:footnote>
  <w:footnote w:id="24">
    <w:p w:rsidR="00793DF2" w:rsidP="00F12892" w14:paraId="5BBB951A" w14:textId="00549A64">
      <w:pPr>
        <w:pStyle w:val="FootnoteText"/>
        <w:widowControl w:val="0"/>
      </w:pPr>
      <w:r>
        <w:rPr>
          <w:rStyle w:val="FootnoteReference"/>
        </w:rPr>
        <w:footnoteRef/>
      </w:r>
      <w:r>
        <w:t xml:space="preserve"> </w:t>
      </w:r>
      <w:r>
        <w:rPr>
          <w:i/>
          <w:iCs/>
        </w:rPr>
        <w:t xml:space="preserve">See NPRM </w:t>
      </w:r>
      <w:r>
        <w:t>at 3; 47 CFR § 73.316(d).</w:t>
      </w:r>
      <w:r w:rsidRPr="00F12892">
        <w:t xml:space="preserve"> </w:t>
      </w:r>
      <w:r>
        <w:t xml:space="preserve"> 47 CFR § 74.1235(h) requires that FM translators also comply with section 73.316(d).</w:t>
      </w:r>
    </w:p>
  </w:footnote>
  <w:footnote w:id="25">
    <w:p w:rsidR="00793DF2" w:rsidRPr="00F34375" w14:paraId="67100786" w14:textId="719D7CD7">
      <w:pPr>
        <w:pStyle w:val="FootnoteText"/>
      </w:pPr>
      <w:r>
        <w:rPr>
          <w:rStyle w:val="FootnoteReference"/>
        </w:rPr>
        <w:footnoteRef/>
      </w:r>
      <w:r>
        <w:t xml:space="preserve"> </w:t>
      </w:r>
      <w:r>
        <w:rPr>
          <w:i/>
          <w:iCs/>
        </w:rPr>
        <w:t xml:space="preserve">See </w:t>
      </w:r>
      <w:r>
        <w:t xml:space="preserve">Read Comments at 1; Schober Comments at 1; REC Comments at 2; Cohen, </w:t>
      </w:r>
      <w:r>
        <w:t>Dippell</w:t>
      </w:r>
      <w:r>
        <w:t xml:space="preserve"> and </w:t>
      </w:r>
      <w:r>
        <w:t>Everist</w:t>
      </w:r>
      <w:r>
        <w:t xml:space="preserve"> Comments at 2; Cohen, </w:t>
      </w:r>
      <w:r>
        <w:t>Dippell</w:t>
      </w:r>
      <w:r>
        <w:t xml:space="preserve"> and </w:t>
      </w:r>
      <w:r>
        <w:t>Everist</w:t>
      </w:r>
      <w:r>
        <w:t xml:space="preserve"> Reply Comments at 3.</w:t>
      </w:r>
    </w:p>
  </w:footnote>
  <w:footnote w:id="26">
    <w:p w:rsidR="00793DF2" w:rsidP="00F12892" w14:paraId="320E6F79" w14:textId="394B0446">
      <w:pPr>
        <w:pStyle w:val="FootnoteText"/>
        <w:widowControl w:val="0"/>
      </w:pPr>
      <w:r>
        <w:rPr>
          <w:rStyle w:val="FootnoteReference"/>
        </w:rPr>
        <w:footnoteRef/>
      </w:r>
      <w:r>
        <w:t xml:space="preserve"> </w:t>
      </w:r>
      <w:r>
        <w:rPr>
          <w:i/>
          <w:iCs/>
        </w:rPr>
        <w:t xml:space="preserve">See NPRM </w:t>
      </w:r>
      <w:r>
        <w:t xml:space="preserve">at 3, para. 5; </w:t>
      </w:r>
      <w:r>
        <w:rPr>
          <w:i/>
          <w:iCs/>
        </w:rPr>
        <w:t>Reorganization and Revision of Chapter</w:t>
      </w:r>
      <w:r>
        <w:t>, 28 FR 13572, 13645 (1963); 47 CFR § 7.D (1945).</w:t>
      </w:r>
    </w:p>
  </w:footnote>
  <w:footnote w:id="27">
    <w:p w:rsidR="00793DF2" w:rsidP="00F12892" w14:paraId="013676D9" w14:textId="5F4A0705">
      <w:pPr>
        <w:pStyle w:val="FootnoteText"/>
        <w:widowControl w:val="0"/>
      </w:pPr>
      <w:r>
        <w:rPr>
          <w:rStyle w:val="FootnoteReference"/>
        </w:rPr>
        <w:footnoteRef/>
      </w:r>
      <w:r>
        <w:t xml:space="preserve"> </w:t>
      </w:r>
      <w:r>
        <w:rPr>
          <w:i/>
          <w:iCs/>
        </w:rPr>
        <w:t xml:space="preserve">See </w:t>
      </w:r>
      <w:r>
        <w:t>47 CFR § 73.317.</w:t>
      </w:r>
    </w:p>
  </w:footnote>
  <w:footnote w:id="28">
    <w:p w:rsidR="00793DF2" w:rsidRPr="006C398B" w:rsidP="00F12892" w14:paraId="18122D18" w14:textId="09D44B87">
      <w:pPr>
        <w:pStyle w:val="FootnoteText"/>
      </w:pPr>
      <w:r>
        <w:rPr>
          <w:rStyle w:val="FootnoteReference"/>
        </w:rPr>
        <w:footnoteRef/>
      </w:r>
      <w:r>
        <w:t xml:space="preserve"> </w:t>
      </w:r>
      <w:r w:rsidRPr="0008116A">
        <w:t>The “newcomer policy</w:t>
      </w:r>
      <w:r>
        <w:t>”</w:t>
      </w:r>
      <w:r w:rsidRPr="0008116A">
        <w:t xml:space="preserve"> dates back to </w:t>
      </w:r>
      <w:r w:rsidRPr="0008116A">
        <w:rPr>
          <w:i/>
          <w:iCs/>
        </w:rPr>
        <w:t>Midnight Sun Broadcasting Co.</w:t>
      </w:r>
      <w:r w:rsidRPr="0008116A">
        <w:t xml:space="preserve">, Memorandum Opinion and Order, 11 FCC 1119 (1947), in which the Commission held a broadcaster responsible for resolving interference caused by its new facilities to other preexisting facilities in close proximity. </w:t>
      </w:r>
      <w:r>
        <w:t xml:space="preserve"> </w:t>
      </w:r>
      <w:r w:rsidRPr="0008116A">
        <w:rPr>
          <w:i/>
          <w:iCs/>
        </w:rPr>
        <w:t xml:space="preserve">See, e.g., </w:t>
      </w:r>
      <w:r>
        <w:rPr>
          <w:i/>
          <w:iCs/>
        </w:rPr>
        <w:t>Inquiry into the Commission’s Policies and Rules Regarding AM Radio Service Directional Antenna Performance Verification</w:t>
      </w:r>
      <w:r>
        <w:t>, Third Report and Order and Second Order on Reconsideration, 28 FCC Rcd 12555, 12557, para. 4 (2013) (</w:t>
      </w:r>
      <w:r>
        <w:rPr>
          <w:i/>
          <w:iCs/>
        </w:rPr>
        <w:t>AM Directional Antenna Order</w:t>
      </w:r>
      <w:r>
        <w:t>) (providing an overview of the history of the “newcomer policy”).</w:t>
      </w:r>
    </w:p>
  </w:footnote>
  <w:footnote w:id="29">
    <w:p w:rsidR="00793DF2" w:rsidRPr="0008116A" w:rsidP="00577814" w14:paraId="50CBD486" w14:textId="0B65ED15">
      <w:pPr>
        <w:pStyle w:val="FootnoteText"/>
      </w:pPr>
      <w:r>
        <w:rPr>
          <w:rStyle w:val="FootnoteReference"/>
        </w:rPr>
        <w:footnoteRef/>
      </w:r>
      <w:r>
        <w:t xml:space="preserve"> </w:t>
      </w:r>
      <w:r w:rsidRPr="0008116A">
        <w:rPr>
          <w:i/>
          <w:iCs/>
        </w:rPr>
        <w:t xml:space="preserve">See, e.g., </w:t>
      </w:r>
      <w:r>
        <w:rPr>
          <w:i/>
          <w:iCs/>
        </w:rPr>
        <w:t xml:space="preserve">AM Directional Antenna Order, </w:t>
      </w:r>
      <w:r>
        <w:t>28 FCC Rcd at 12557, para. 4, n.7.</w:t>
      </w:r>
    </w:p>
  </w:footnote>
  <w:footnote w:id="30">
    <w:p w:rsidR="00793DF2" w14:paraId="0E6DED35" w14:textId="5B440705">
      <w:pPr>
        <w:pStyle w:val="FootnoteText"/>
      </w:pPr>
      <w:r>
        <w:rPr>
          <w:rStyle w:val="FootnoteReference"/>
        </w:rPr>
        <w:footnoteRef/>
      </w:r>
      <w:r>
        <w:t xml:space="preserve"> 47 CFR § 73.316(e), which the NPRM did not propose to modify, contains a separate codification of the newcomer policy with regard to new FM stations that might impact preexisting AM stations.</w:t>
      </w:r>
    </w:p>
  </w:footnote>
  <w:footnote w:id="31">
    <w:p w:rsidR="00793DF2" w14:paraId="69875AD4" w14:textId="25321346">
      <w:pPr>
        <w:pStyle w:val="FootnoteText"/>
      </w:pPr>
      <w:r>
        <w:rPr>
          <w:rStyle w:val="FootnoteReference"/>
        </w:rPr>
        <w:footnoteRef/>
      </w:r>
      <w:r>
        <w:t xml:space="preserve"> Cohen, </w:t>
      </w:r>
      <w:r>
        <w:t>Dippell</w:t>
      </w:r>
      <w:r>
        <w:t xml:space="preserve"> and </w:t>
      </w:r>
      <w:r>
        <w:t>Everist</w:t>
      </w:r>
      <w:r>
        <w:t xml:space="preserve"> Reply Comments at 2 (“Section 73.316(d) is no longer necessary so long as the policy of the last station to be constructed that is in close proximity to other authorized and operating stations is first considered responsible in addressing any new interference issues”). </w:t>
      </w:r>
    </w:p>
  </w:footnote>
  <w:footnote w:id="32">
    <w:p w:rsidR="00793DF2" w:rsidP="00803C6A" w14:paraId="55DC2EF7" w14:textId="77777777">
      <w:pPr>
        <w:pStyle w:val="FootnoteText"/>
      </w:pPr>
      <w:r>
        <w:rPr>
          <w:rStyle w:val="FootnoteReference"/>
        </w:rPr>
        <w:footnoteRef/>
      </w:r>
      <w:r>
        <w:t xml:space="preserve"> Read Comments at 1.</w:t>
      </w:r>
    </w:p>
  </w:footnote>
  <w:footnote w:id="33">
    <w:p w:rsidR="00793DF2" w:rsidP="00F12892" w14:paraId="63DBF8F6" w14:textId="194F1B02">
      <w:pPr>
        <w:pStyle w:val="FootnoteText"/>
      </w:pPr>
      <w:r>
        <w:rPr>
          <w:rStyle w:val="FootnoteReference"/>
        </w:rPr>
        <w:footnoteRef/>
      </w:r>
      <w:r>
        <w:t xml:space="preserve"> For example, in 1972, in response to a complaint involving FM proximity interference, the Commission applied by analogy the federal lands proximate interference rule in 47 CFR § 1.70 (since eliminated).  </w:t>
      </w:r>
      <w:r>
        <w:rPr>
          <w:i/>
          <w:iCs/>
        </w:rPr>
        <w:t>See Jack Straw Memorial Foundation</w:t>
      </w:r>
      <w:r>
        <w:t>, Memorandum Opinion and Order, 35 FCC.2d 397, 399-400, paras. 8-11 (1972).</w:t>
      </w:r>
    </w:p>
  </w:footnote>
  <w:footnote w:id="34">
    <w:p w:rsidR="00793DF2" w14:paraId="0BB838D2" w14:textId="7A4CDBE9">
      <w:pPr>
        <w:pStyle w:val="FootnoteText"/>
      </w:pPr>
      <w:r>
        <w:rPr>
          <w:rStyle w:val="FootnoteReference"/>
        </w:rPr>
        <w:footnoteRef/>
      </w:r>
      <w:r>
        <w:t xml:space="preserve"> NAB Comments at 8-9. </w:t>
      </w:r>
    </w:p>
  </w:footnote>
  <w:footnote w:id="35">
    <w:p w:rsidR="00793DF2" w:rsidRPr="00265555" w:rsidP="00084ADA" w14:paraId="166B47E9" w14:textId="6C45EFF8">
      <w:pPr>
        <w:pStyle w:val="FootnoteText"/>
      </w:pPr>
      <w:r>
        <w:rPr>
          <w:rStyle w:val="FootnoteReference"/>
        </w:rPr>
        <w:footnoteRef/>
      </w:r>
      <w:r>
        <w:t xml:space="preserve"> </w:t>
      </w:r>
      <w:r>
        <w:rPr>
          <w:i/>
          <w:iCs/>
        </w:rPr>
        <w:t>Modification of FM Broadcast Station Rules to Increase the Availability of Commercial FM Broadcast Assignments</w:t>
      </w:r>
      <w:r>
        <w:t>, Report and Order, 94 FCC.2d 152, 182, paras. 84 and 198, App. C (1983).</w:t>
      </w:r>
    </w:p>
  </w:footnote>
  <w:footnote w:id="36">
    <w:p w:rsidR="00793DF2" w:rsidRPr="006B77CB" w14:paraId="151F9DD6" w14:textId="57189405">
      <w:pPr>
        <w:pStyle w:val="FootnoteText"/>
      </w:pPr>
      <w:r>
        <w:rPr>
          <w:rStyle w:val="FootnoteReference"/>
        </w:rPr>
        <w:footnoteRef/>
      </w:r>
      <w:r>
        <w:t xml:space="preserve"> </w:t>
      </w:r>
      <w:r>
        <w:rPr>
          <w:i/>
          <w:iCs/>
        </w:rPr>
        <w:t>Id</w:t>
      </w:r>
      <w:r>
        <w:t xml:space="preserve">., App. C. </w:t>
      </w:r>
    </w:p>
  </w:footnote>
  <w:footnote w:id="37">
    <w:p w:rsidR="00793DF2" w:rsidRPr="00492DB4" w14:paraId="664EBD9E" w14:textId="3FD663F7">
      <w:pPr>
        <w:pStyle w:val="FootnoteText"/>
      </w:pPr>
      <w:r>
        <w:rPr>
          <w:rStyle w:val="FootnoteReference"/>
        </w:rPr>
        <w:footnoteRef/>
      </w:r>
      <w:r>
        <w:t xml:space="preserve"> </w:t>
      </w:r>
      <w:r>
        <w:rPr>
          <w:i/>
          <w:iCs/>
        </w:rPr>
        <w:t>Id</w:t>
      </w:r>
      <w:r>
        <w:t>.</w:t>
      </w:r>
    </w:p>
  </w:footnote>
  <w:footnote w:id="38">
    <w:p w:rsidR="00793DF2" w:rsidRPr="007915AF" w14:paraId="42572BC7" w14:textId="1F48BB00">
      <w:pPr>
        <w:pStyle w:val="FootnoteText"/>
      </w:pPr>
      <w:r>
        <w:rPr>
          <w:rStyle w:val="FootnoteReference"/>
        </w:rPr>
        <w:footnoteRef/>
      </w:r>
      <w:r>
        <w:t xml:space="preserve"> </w:t>
      </w:r>
      <w:r>
        <w:rPr>
          <w:i/>
          <w:iCs/>
        </w:rPr>
        <w:t xml:space="preserve">See, e.g., </w:t>
      </w:r>
      <w:r>
        <w:t xml:space="preserve">47 CFR § 73.316(d) (1983). </w:t>
      </w:r>
    </w:p>
  </w:footnote>
  <w:footnote w:id="39">
    <w:p w:rsidR="00793DF2" w:rsidRPr="00A37CEB" w14:paraId="3E1AFC30" w14:textId="2CEEBD8C">
      <w:pPr>
        <w:pStyle w:val="FootnoteText"/>
      </w:pPr>
      <w:r>
        <w:rPr>
          <w:rStyle w:val="FootnoteReference"/>
        </w:rPr>
        <w:footnoteRef/>
      </w:r>
      <w:r>
        <w:t xml:space="preserve"> </w:t>
      </w:r>
      <w:r>
        <w:rPr>
          <w:i/>
          <w:iCs/>
        </w:rPr>
        <w:t xml:space="preserve">See </w:t>
      </w:r>
      <w:r>
        <w:t>47 CFR §§ 73.625(b); 73.685(g).</w:t>
      </w:r>
    </w:p>
  </w:footnote>
  <w:footnote w:id="40">
    <w:p w:rsidR="00793DF2" w:rsidRPr="00415030" w14:paraId="6A5788B9" w14:textId="00DFB75E">
      <w:pPr>
        <w:pStyle w:val="FootnoteText"/>
      </w:pPr>
      <w:r>
        <w:rPr>
          <w:rStyle w:val="FootnoteReference"/>
        </w:rPr>
        <w:footnoteRef/>
      </w:r>
      <w:r>
        <w:t xml:space="preserve"> As an editorial, non-substantive change, with no change in meaning and no significance to the industry or general public, </w:t>
      </w:r>
      <w:r w:rsidRPr="00500C46">
        <w:rPr>
          <w:szCs w:val="22"/>
        </w:rPr>
        <w:t xml:space="preserve">we conclude that notice and comment procedures </w:t>
      </w:r>
      <w:r>
        <w:rPr>
          <w:szCs w:val="22"/>
        </w:rPr>
        <w:t xml:space="preserve">for this change </w:t>
      </w:r>
      <w:r w:rsidRPr="00500C46">
        <w:rPr>
          <w:szCs w:val="22"/>
        </w:rPr>
        <w:t xml:space="preserve">are </w:t>
      </w:r>
      <w:r>
        <w:rPr>
          <w:szCs w:val="22"/>
        </w:rPr>
        <w:t>“</w:t>
      </w:r>
      <w:r w:rsidRPr="00500C46">
        <w:rPr>
          <w:szCs w:val="22"/>
        </w:rPr>
        <w:t>unnecessary</w:t>
      </w:r>
      <w:r>
        <w:rPr>
          <w:szCs w:val="22"/>
        </w:rPr>
        <w:t xml:space="preserve">” </w:t>
      </w:r>
      <w:r w:rsidRPr="00500C46">
        <w:rPr>
          <w:szCs w:val="22"/>
        </w:rPr>
        <w:t xml:space="preserve">under the “good cause” exception of the </w:t>
      </w:r>
      <w:r>
        <w:t xml:space="preserve">Administrative Procedure Act (APA).  </w:t>
      </w:r>
      <w:r w:rsidRPr="00415030">
        <w:t>5 U.S.C. § 553(b)(B)</w:t>
      </w:r>
      <w:r>
        <w:t xml:space="preserve"> (stating that the notice procedure does not apply “</w:t>
      </w:r>
      <w:r w:rsidRPr="00415030">
        <w:t>when the agency for good cause finds (and incorporates the finding and a brief statement of reasons therefor in the rules issued) that notice and public procedure thereon are impracticable, unnecessary, or contrary to the public interest</w:t>
      </w:r>
      <w:r>
        <w:t xml:space="preserve">”); </w:t>
      </w:r>
      <w:r w:rsidRPr="006B77CB">
        <w:rPr>
          <w:i/>
          <w:iCs/>
        </w:rPr>
        <w:t>Utility Solid Waste Activities Group v. EPA</w:t>
      </w:r>
      <w:r w:rsidRPr="006B77CB">
        <w:t>, 236 F.3d 749, 755 (D.C. Cir. 2001) (</w:t>
      </w:r>
      <w:r>
        <w:t>explaining that</w:t>
      </w:r>
      <w:r w:rsidRPr="006B77CB">
        <w:t xml:space="preserve"> the “unnecessary” exception </w:t>
      </w:r>
      <w:r>
        <w:t xml:space="preserve">of section 533(b)(B) </w:t>
      </w:r>
      <w:r w:rsidRPr="006B77CB">
        <w:t>applies “to those situations in which the administrative rule is a routine determination, insignificant in nature and impact, and inconsequential to the industry and to the public”); </w:t>
      </w:r>
      <w:r>
        <w:rPr>
          <w:i/>
          <w:iCs/>
        </w:rPr>
        <w:t>Amendment of Parts 1,2, 15, 74, 78, 87,90, and 97 of the Commission’s Rules Regarding Implementation of the Final Acts of the World Radiocommunication Conference (Geneva, 2007) (WRC-07), Other Allocation Issues, and Related Rules Updates</w:t>
      </w:r>
      <w:r>
        <w:t>, Order, 27 FCC Rcd 14598, 14657, para. 158 (2012) (holding that there is no need for notice and comment rulemaking procedures when correcting various “</w:t>
      </w:r>
      <w:r w:rsidRPr="008141DA">
        <w:t>grammatical, typographical, and display errors</w:t>
      </w:r>
      <w:r>
        <w:t>”).</w:t>
      </w:r>
    </w:p>
  </w:footnote>
  <w:footnote w:id="41">
    <w:p w:rsidR="00793DF2" w14:paraId="4DC3237C" w14:textId="74E1AC65">
      <w:pPr>
        <w:pStyle w:val="FootnoteText"/>
      </w:pPr>
      <w:r>
        <w:rPr>
          <w:rStyle w:val="FootnoteReference"/>
        </w:rPr>
        <w:footnoteRef/>
      </w:r>
      <w:r>
        <w:t xml:space="preserve"> </w:t>
      </w:r>
      <w:r>
        <w:rPr>
          <w:i/>
          <w:iCs/>
        </w:rPr>
        <w:t xml:space="preserve">See NPRM </w:t>
      </w:r>
      <w:r>
        <w:t>at 3, para. 6.  Section 73.509(b) provides that applications filed by NCE FM Class D station licensees will not be accepted if they propose overlap of the applicant station’s 80 dBu (interfering) contour with the 60 dBu (protected) contour of any second-adjacent channel station (i.e., a 20 dBu interference ratio).</w:t>
      </w:r>
      <w:r w:rsidRPr="00AA2728">
        <w:t xml:space="preserve"> </w:t>
      </w:r>
      <w:r>
        <w:t xml:space="preserve"> 47 CFR § 73.509(b).  </w:t>
      </w:r>
      <w:r w:rsidRPr="00AA2728">
        <w:t xml:space="preserve">In contrast, section 73.509(a) </w:t>
      </w:r>
      <w:r>
        <w:t xml:space="preserve">provides that an application for a new or modified NCE FM station other than a Class D station will not be accepted if it proposes overlap </w:t>
      </w:r>
      <w:r w:rsidRPr="00AA2728">
        <w:t xml:space="preserve">of </w:t>
      </w:r>
      <w:r>
        <w:t xml:space="preserve"> the</w:t>
      </w:r>
      <w:r w:rsidRPr="00AA2728">
        <w:t xml:space="preserve"> applicant station’s 100 dBu (interfering) contour with the 60 dBu (protected) contour of any second-adjacent channel station (i.e., a </w:t>
      </w:r>
      <w:r>
        <w:t xml:space="preserve">less restrictive </w:t>
      </w:r>
      <w:r w:rsidRPr="00AA2728">
        <w:t>40 dBu interference ratio).</w:t>
      </w:r>
      <w:r>
        <w:t xml:space="preserve">  47 CFR § 73.509(a); </w:t>
      </w:r>
      <w:r>
        <w:rPr>
          <w:i/>
          <w:iCs/>
        </w:rPr>
        <w:t>see generally, 1998 Biennial Regulatory Review</w:t>
      </w:r>
      <w:r w:rsidRPr="0055023A">
        <w:t xml:space="preserve">, 15 FCC Rcd </w:t>
      </w:r>
      <w:r>
        <w:t>at</w:t>
      </w:r>
      <w:r w:rsidRPr="0055023A">
        <w:t xml:space="preserve"> </w:t>
      </w:r>
      <w:r>
        <w:t>21669, para. 39.</w:t>
      </w:r>
    </w:p>
  </w:footnote>
  <w:footnote w:id="42">
    <w:p w:rsidR="00793DF2" w:rsidRPr="00965666" w:rsidP="00ED4DA0" w14:paraId="412B36E1" w14:textId="6613937A">
      <w:pPr>
        <w:pStyle w:val="FootnoteText"/>
      </w:pPr>
      <w:r>
        <w:rPr>
          <w:rStyle w:val="FootnoteReference"/>
        </w:rPr>
        <w:footnoteRef/>
      </w:r>
      <w:r>
        <w:t xml:space="preserve"> </w:t>
      </w:r>
      <w:r>
        <w:rPr>
          <w:i/>
          <w:iCs/>
        </w:rPr>
        <w:t xml:space="preserve">See </w:t>
      </w:r>
      <w:r>
        <w:t>Read Comments at 1; Schober Comments at 1; REC Comments at 1-2; NAB Comments at 3.</w:t>
      </w:r>
    </w:p>
  </w:footnote>
  <w:footnote w:id="43">
    <w:p w:rsidR="00793DF2" w14:paraId="5B4E3FC8" w14:textId="2C88862C">
      <w:pPr>
        <w:pStyle w:val="FootnoteText"/>
      </w:pPr>
      <w:r>
        <w:rPr>
          <w:rStyle w:val="FootnoteReference"/>
        </w:rPr>
        <w:footnoteRef/>
      </w:r>
      <w:r>
        <w:t xml:space="preserve"> </w:t>
      </w:r>
      <w:bookmarkStart w:id="10" w:name="_Hlk89876772"/>
      <w:r>
        <w:rPr>
          <w:i/>
          <w:iCs/>
        </w:rPr>
        <w:t xml:space="preserve">See </w:t>
      </w:r>
      <w:bookmarkEnd w:id="10"/>
      <w:r w:rsidRPr="00ED4DA0">
        <w:t>Read Comments at 1;</w:t>
      </w:r>
      <w:r w:rsidRPr="00ED4DA0">
        <w:rPr>
          <w:snapToGrid w:val="0"/>
          <w:kern w:val="28"/>
          <w:sz w:val="22"/>
        </w:rPr>
        <w:t xml:space="preserve"> </w:t>
      </w:r>
      <w:r w:rsidRPr="00ED4DA0">
        <w:t>NAB Comments at 3</w:t>
      </w:r>
      <w:r>
        <w:t>.</w:t>
      </w:r>
    </w:p>
  </w:footnote>
  <w:footnote w:id="44">
    <w:p w:rsidR="00793DF2" w:rsidRPr="00FD5359" w:rsidP="00AA2728" w14:paraId="3896B7A5" w14:textId="77777777">
      <w:pPr>
        <w:pStyle w:val="FootnoteText"/>
        <w:widowControl w:val="0"/>
      </w:pPr>
      <w:r>
        <w:rPr>
          <w:rStyle w:val="FootnoteReference"/>
        </w:rPr>
        <w:footnoteRef/>
      </w:r>
      <w:r>
        <w:t xml:space="preserve"> </w:t>
      </w:r>
      <w:r>
        <w:rPr>
          <w:i/>
          <w:iCs/>
        </w:rPr>
        <w:t xml:space="preserve">See 1998 Biennial Regulatory Review, </w:t>
      </w:r>
      <w:r w:rsidRPr="00FD5359">
        <w:t>15 FCC Rcd at</w:t>
      </w:r>
      <w:r>
        <w:t xml:space="preserve"> 21671, paras. 44-45 (citing </w:t>
      </w:r>
      <w:r>
        <w:rPr>
          <w:i/>
          <w:iCs/>
        </w:rPr>
        <w:t>Creation of a Low Power Radio Service</w:t>
      </w:r>
      <w:r>
        <w:t>,</w:t>
      </w:r>
      <w:r>
        <w:rPr>
          <w:i/>
          <w:iCs/>
        </w:rPr>
        <w:t xml:space="preserve"> </w:t>
      </w:r>
      <w:r w:rsidRPr="00FD5359">
        <w:t>Notice of Proposed Rule Making, 14 FCC Rcd 2471 (1999)</w:t>
      </w:r>
      <w:r>
        <w:t>).</w:t>
      </w:r>
    </w:p>
  </w:footnote>
  <w:footnote w:id="45">
    <w:p w:rsidR="00793DF2" w14:paraId="4894AEB6" w14:textId="0475A015">
      <w:pPr>
        <w:pStyle w:val="FootnoteText"/>
      </w:pPr>
      <w:r>
        <w:rPr>
          <w:rStyle w:val="FootnoteReference"/>
        </w:rPr>
        <w:footnoteRef/>
      </w:r>
      <w:r>
        <w:t xml:space="preserve"> </w:t>
      </w:r>
      <w:r w:rsidRPr="00C03792">
        <w:rPr>
          <w:i/>
          <w:iCs/>
        </w:rPr>
        <w:t>See</w:t>
      </w:r>
      <w:r w:rsidRPr="00C03792">
        <w:rPr>
          <w:snapToGrid w:val="0"/>
          <w:kern w:val="28"/>
          <w:sz w:val="22"/>
        </w:rPr>
        <w:t xml:space="preserve"> </w:t>
      </w:r>
      <w:r w:rsidRPr="00C03792">
        <w:t>REC Comments at 2</w:t>
      </w:r>
      <w:r>
        <w:t>.</w:t>
      </w:r>
    </w:p>
  </w:footnote>
  <w:footnote w:id="46">
    <w:p w:rsidR="00793DF2" w14:paraId="163E68B3" w14:textId="7475F8E5">
      <w:pPr>
        <w:pStyle w:val="FootnoteText"/>
      </w:pPr>
      <w:r>
        <w:rPr>
          <w:rStyle w:val="FootnoteReference"/>
        </w:rPr>
        <w:footnoteRef/>
      </w:r>
      <w:r>
        <w:t xml:space="preserve"> </w:t>
      </w:r>
      <w:r w:rsidR="005565B4">
        <w:t xml:space="preserve">Specifically, we number and re-title the tables by reference to the paragraphs they modify and replace “as set forth below” in the text of each rule with “as set forth in [the title of the table].”  </w:t>
      </w:r>
      <w:r>
        <w:t xml:space="preserve">These rule changes are ministerial, non-substantive editorial revisions and we find good cause to conclude that notice and comment procedures are unnecessary and would not serve any useful purpose.  </w:t>
      </w:r>
      <w:r w:rsidR="005565B4">
        <w:rPr>
          <w:i/>
          <w:iCs/>
        </w:rPr>
        <w:t xml:space="preserve">See </w:t>
      </w:r>
      <w:r>
        <w:t xml:space="preserve">5 U.S.C. § 553(b)(3)(B).  </w:t>
      </w:r>
    </w:p>
  </w:footnote>
  <w:footnote w:id="47">
    <w:p w:rsidR="00793DF2" w:rsidP="00961E42" w14:paraId="49C74FC9" w14:textId="50A096F0">
      <w:pPr>
        <w:pStyle w:val="FootnoteText"/>
      </w:pPr>
      <w:r>
        <w:rPr>
          <w:rStyle w:val="FootnoteReference"/>
        </w:rPr>
        <w:footnoteRef/>
      </w:r>
      <w:r>
        <w:t xml:space="preserve"> </w:t>
      </w:r>
      <w:r>
        <w:rPr>
          <w:i/>
          <w:iCs/>
        </w:rPr>
        <w:t xml:space="preserve">See NPRM </w:t>
      </w:r>
      <w:r>
        <w:t>at 4, paras. 7-8.  Specifically, section 73.501(b) applies to NCE FM stations in the reserved band, section 74.1202(b)(3) applies to FM translator stations on channels 201-260, section 74.702(a)(1) applies to low power TV and TV translator stations on Channels 5 and 6, and section 74.786(b) applies to digital low power TV and TV translator stations on Channels 5 and 6.</w:t>
      </w:r>
    </w:p>
  </w:footnote>
  <w:footnote w:id="48">
    <w:p w:rsidR="00793DF2" w:rsidRPr="00D166EF" w:rsidP="00391522" w14:paraId="3B7FF116" w14:textId="6A1FD728">
      <w:pPr>
        <w:pStyle w:val="FootnoteText"/>
        <w:widowControl w:val="0"/>
      </w:pPr>
      <w:r>
        <w:rPr>
          <w:rStyle w:val="FootnoteReference"/>
        </w:rPr>
        <w:footnoteRef/>
      </w:r>
      <w:r>
        <w:t xml:space="preserve"> </w:t>
      </w:r>
      <w:r>
        <w:rPr>
          <w:i/>
          <w:iCs/>
        </w:rPr>
        <w:t>Amendment of Part 2 of the Commission’s Rules Governing Frequency Allocations</w:t>
      </w:r>
      <w:r>
        <w:t>, Report and Order, 90 F.C.C.2d 507, 509, para. 5 (1982).  In 2005, the Commission deleted two similar rules</w:t>
      </w:r>
      <w:r w:rsidRPr="002455AF">
        <w:t xml:space="preserve"> </w:t>
      </w:r>
      <w:r>
        <w:t xml:space="preserve">(47 CFR §§ </w:t>
      </w:r>
      <w:r w:rsidRPr="002455AF">
        <w:t>73.220(b) and 73.603(b)</w:t>
      </w:r>
      <w:r>
        <w:t>)</w:t>
      </w:r>
      <w:r w:rsidRPr="002455AF">
        <w:t xml:space="preserve"> on the basis that there were no longer any common carrier stations in Alaska in the 76-100 MHz band</w:t>
      </w:r>
      <w:r>
        <w:t xml:space="preserve">.  </w:t>
      </w:r>
      <w:r>
        <w:rPr>
          <w:i/>
          <w:iCs/>
        </w:rPr>
        <w:t>See Amendment of Parts 2, 25, and 73 of the Commission’s Rules to Implement Decisions from the World Radiocommunication Conference (Geneva, 2003) (WRC-03) Concerning Frequency Bands between 5900 kHz and 27.5 GHz and to Otherwise Update the Rules in this Frequency Range</w:t>
      </w:r>
      <w:r>
        <w:t>, Report and Order, 20 FCC Rcd 6570,</w:t>
      </w:r>
      <w:r>
        <w:rPr>
          <w:i/>
          <w:iCs/>
        </w:rPr>
        <w:t xml:space="preserve"> </w:t>
      </w:r>
      <w:r>
        <w:t>6629, para. 165 (2005).</w:t>
      </w:r>
    </w:p>
  </w:footnote>
  <w:footnote w:id="49">
    <w:p w:rsidR="00793DF2" w:rsidRPr="00415B33" w14:paraId="41351DD2" w14:textId="518BAD6C">
      <w:pPr>
        <w:pStyle w:val="FootnoteText"/>
      </w:pPr>
      <w:r>
        <w:rPr>
          <w:rStyle w:val="FootnoteReference"/>
        </w:rPr>
        <w:footnoteRef/>
      </w:r>
      <w:r>
        <w:t xml:space="preserve"> </w:t>
      </w:r>
      <w:r>
        <w:rPr>
          <w:i/>
          <w:iCs/>
        </w:rPr>
        <w:t xml:space="preserve">See </w:t>
      </w:r>
      <w:r>
        <w:t>Read Comments at 1; Schober Comments at 1; REC Comments at 2; NAB Comments at 2-4.</w:t>
      </w:r>
    </w:p>
  </w:footnote>
  <w:footnote w:id="50">
    <w:p w:rsidR="00793DF2" w:rsidRPr="00814938" w14:paraId="32F1495B" w14:textId="68248C8A">
      <w:pPr>
        <w:pStyle w:val="FootnoteText"/>
      </w:pPr>
      <w:r>
        <w:rPr>
          <w:rStyle w:val="FootnoteReference"/>
        </w:rPr>
        <w:footnoteRef/>
      </w:r>
      <w:r>
        <w:t xml:space="preserve"> </w:t>
      </w:r>
      <w:r>
        <w:rPr>
          <w:i/>
          <w:iCs/>
        </w:rPr>
        <w:t xml:space="preserve">See NPRM </w:t>
      </w:r>
      <w:r>
        <w:t>at 4-5, para 9.</w:t>
      </w:r>
    </w:p>
  </w:footnote>
  <w:footnote w:id="51">
    <w:p w:rsidR="00793DF2" w:rsidP="00F12892" w14:paraId="088B2C25" w14:textId="77777777">
      <w:pPr>
        <w:pStyle w:val="FootnoteText"/>
        <w:widowControl w:val="0"/>
      </w:pPr>
      <w:r>
        <w:rPr>
          <w:rStyle w:val="FootnoteReference"/>
        </w:rPr>
        <w:footnoteRef/>
      </w:r>
      <w:r>
        <w:t xml:space="preserve"> 47 CFR § 74.1201(g) (emphasis added).</w:t>
      </w:r>
    </w:p>
  </w:footnote>
  <w:footnote w:id="52">
    <w:p w:rsidR="00793DF2" w:rsidRPr="00415B33" w14:paraId="52D82DA4" w14:textId="7837A9AB">
      <w:pPr>
        <w:pStyle w:val="FootnoteText"/>
      </w:pPr>
      <w:r>
        <w:rPr>
          <w:rStyle w:val="FootnoteReference"/>
        </w:rPr>
        <w:footnoteRef/>
      </w:r>
      <w:r>
        <w:t xml:space="preserve"> </w:t>
      </w:r>
      <w:r>
        <w:rPr>
          <w:i/>
          <w:iCs/>
        </w:rPr>
        <w:t xml:space="preserve">See </w:t>
      </w:r>
      <w:r>
        <w:t xml:space="preserve">Read Comments at 1; Schober Comments at 1; REC Comments at 2; NAB Comments at 4; Cohen, </w:t>
      </w:r>
      <w:r>
        <w:t>Dippell</w:t>
      </w:r>
      <w:r>
        <w:t xml:space="preserve"> and </w:t>
      </w:r>
      <w:r>
        <w:t>Everist</w:t>
      </w:r>
      <w:r>
        <w:t xml:space="preserve"> Comments at 2-3; Cohen, </w:t>
      </w:r>
      <w:r>
        <w:t>Dippell</w:t>
      </w:r>
      <w:r>
        <w:t xml:space="preserve"> and </w:t>
      </w:r>
      <w:r>
        <w:t>Everist</w:t>
      </w:r>
      <w:r>
        <w:t xml:space="preserve"> Reply at 2. </w:t>
      </w:r>
    </w:p>
  </w:footnote>
  <w:footnote w:id="53">
    <w:p w:rsidR="00793DF2" w14:paraId="59CDC37E" w14:textId="1AACF2C1">
      <w:pPr>
        <w:pStyle w:val="FootnoteText"/>
      </w:pPr>
      <w:r>
        <w:rPr>
          <w:rStyle w:val="FootnoteReference"/>
        </w:rPr>
        <w:footnoteRef/>
      </w:r>
      <w:r>
        <w:t xml:space="preserve"> NAB Comments at 4.</w:t>
      </w:r>
    </w:p>
  </w:footnote>
  <w:footnote w:id="54">
    <w:p w:rsidR="00793DF2" w:rsidRPr="00814938" w14:paraId="00B81C0C" w14:textId="58B8F816">
      <w:pPr>
        <w:pStyle w:val="FootnoteText"/>
      </w:pPr>
      <w:r>
        <w:rPr>
          <w:rStyle w:val="FootnoteReference"/>
        </w:rPr>
        <w:footnoteRef/>
      </w:r>
      <w:r>
        <w:t xml:space="preserve"> </w:t>
      </w:r>
      <w:r>
        <w:rPr>
          <w:i/>
          <w:iCs/>
        </w:rPr>
        <w:t xml:space="preserve">See NPRM </w:t>
      </w:r>
      <w:r>
        <w:t>at 5-7, paras. 10-15.</w:t>
      </w:r>
    </w:p>
  </w:footnote>
  <w:footnote w:id="55">
    <w:p w:rsidR="00793DF2" w:rsidP="00F12892" w14:paraId="66242474" w14:textId="48F962BE">
      <w:pPr>
        <w:pStyle w:val="FootnoteText"/>
        <w:widowControl w:val="0"/>
      </w:pPr>
      <w:r>
        <w:rPr>
          <w:rStyle w:val="FootnoteReference"/>
        </w:rPr>
        <w:footnoteRef/>
      </w:r>
      <w:r>
        <w:t xml:space="preserve"> </w:t>
      </w:r>
      <w:r w:rsidRPr="00F933D5">
        <w:rPr>
          <w:rStyle w:val="normaltextrun"/>
          <w:szCs w:val="22"/>
        </w:rPr>
        <w:t>Agreement Between the Government of the United States of America and the Government of the United Mexican States Relating to the FM Broadcasting Service in the Band 88-108 MHz</w:t>
      </w:r>
      <w:r>
        <w:rPr>
          <w:rStyle w:val="normaltextrun"/>
          <w:szCs w:val="22"/>
        </w:rPr>
        <w:t xml:space="preserve">, Mex.-U.S., </w:t>
      </w:r>
      <w:r>
        <w:rPr>
          <w:rStyle w:val="normaltextrun"/>
          <w:i/>
          <w:iCs/>
          <w:szCs w:val="22"/>
        </w:rPr>
        <w:t>signed Aug. 11, 1992, entered into force June 2, 1995</w:t>
      </w:r>
      <w:r>
        <w:rPr>
          <w:rStyle w:val="normaltextrun"/>
          <w:szCs w:val="22"/>
        </w:rPr>
        <w:t xml:space="preserve">, </w:t>
      </w:r>
      <w:r w:rsidRPr="007B5129">
        <w:rPr>
          <w:rStyle w:val="normaltextrun"/>
          <w:szCs w:val="22"/>
        </w:rPr>
        <w:t>T.I.A.S. 12474</w:t>
      </w:r>
      <w:r>
        <w:rPr>
          <w:rStyle w:val="normaltextrun"/>
          <w:szCs w:val="22"/>
        </w:rPr>
        <w:t xml:space="preserve">, </w:t>
      </w:r>
      <w:hyperlink r:id="rId2" w:history="1">
        <w:r w:rsidRPr="007D1824">
          <w:rPr>
            <w:rStyle w:val="Hyperlink"/>
            <w:szCs w:val="22"/>
          </w:rPr>
          <w:t>https://transition.fcc.gov/bureaus/ib/sand/agree/files/mex-bc/fmbc.pdf</w:t>
        </w:r>
      </w:hyperlink>
      <w:r>
        <w:rPr>
          <w:rStyle w:val="normaltextrun"/>
          <w:szCs w:val="22"/>
        </w:rPr>
        <w:t xml:space="preserve"> (last visited June 15, 2021) (</w:t>
      </w:r>
      <w:r w:rsidRPr="00B8767E">
        <w:rPr>
          <w:rStyle w:val="normaltextrun"/>
          <w:i/>
          <w:iCs/>
        </w:rPr>
        <w:t>1992 U</w:t>
      </w:r>
      <w:r>
        <w:rPr>
          <w:rStyle w:val="normaltextrun"/>
          <w:i/>
          <w:iCs/>
        </w:rPr>
        <w:t>.</w:t>
      </w:r>
      <w:r w:rsidRPr="00B8767E">
        <w:rPr>
          <w:rStyle w:val="normaltextrun"/>
          <w:i/>
          <w:iCs/>
        </w:rPr>
        <w:t>S</w:t>
      </w:r>
      <w:r>
        <w:rPr>
          <w:rStyle w:val="normaltextrun"/>
          <w:i/>
          <w:iCs/>
        </w:rPr>
        <w:t>.</w:t>
      </w:r>
      <w:r w:rsidRPr="00B8767E">
        <w:rPr>
          <w:rStyle w:val="normaltextrun"/>
          <w:i/>
          <w:iCs/>
        </w:rPr>
        <w:t>-Mexico FM Broadcasting Agreement</w:t>
      </w:r>
      <w:r>
        <w:rPr>
          <w:rStyle w:val="normaltextrun"/>
        </w:rPr>
        <w:t>)</w:t>
      </w:r>
      <w:r>
        <w:rPr>
          <w:rStyle w:val="normaltextrun"/>
          <w:szCs w:val="22"/>
        </w:rPr>
        <w:t>.</w:t>
      </w:r>
    </w:p>
  </w:footnote>
  <w:footnote w:id="56">
    <w:p w:rsidR="00793DF2" w:rsidP="00F12892" w14:paraId="13975B86" w14:textId="1DCE2E0F">
      <w:pPr>
        <w:pStyle w:val="FootnoteText"/>
        <w:widowControl w:val="0"/>
      </w:pPr>
      <w:r>
        <w:rPr>
          <w:rStyle w:val="FootnoteReference"/>
        </w:rPr>
        <w:footnoteRef/>
      </w:r>
      <w:r>
        <w:t xml:space="preserve"> </w:t>
      </w:r>
      <w:r w:rsidRPr="00F933D5">
        <w:rPr>
          <w:rStyle w:val="normaltextrun"/>
          <w:szCs w:val="22"/>
        </w:rPr>
        <w:t>Exchange of Notes Constituting a Working Arrangement for the Allotment and Assignment of FM Broadcasting Channels under the Agreement between the Government of Canada and the Government of the United States of America relating to the FM Broadcasting Service dated February 1991,</w:t>
      </w:r>
      <w:r>
        <w:rPr>
          <w:rStyle w:val="normaltextrun"/>
          <w:szCs w:val="22"/>
        </w:rPr>
        <w:t xml:space="preserve"> Canada-U.S. </w:t>
      </w:r>
      <w:r w:rsidRPr="00760DBE">
        <w:rPr>
          <w:rStyle w:val="normaltextrun"/>
          <w:i/>
          <w:iCs/>
          <w:szCs w:val="22"/>
        </w:rPr>
        <w:t>effected by Exchange of Notes on November 26, 1990 and February 25, 1991</w:t>
      </w:r>
      <w:r w:rsidRPr="00B8767E">
        <w:rPr>
          <w:rStyle w:val="normaltextrun"/>
          <w:i/>
          <w:iCs/>
          <w:szCs w:val="22"/>
        </w:rPr>
        <w:t xml:space="preserve">, </w:t>
      </w:r>
      <w:r>
        <w:rPr>
          <w:rStyle w:val="normaltextrun"/>
          <w:szCs w:val="22"/>
        </w:rPr>
        <w:t xml:space="preserve">State Dept. Note No. 149, </w:t>
      </w:r>
      <w:r w:rsidRPr="00B8767E">
        <w:rPr>
          <w:rStyle w:val="normaltextrun"/>
          <w:i/>
          <w:iCs/>
          <w:szCs w:val="22"/>
        </w:rPr>
        <w:t>amended by Exchange of Notes on July 9, 1997</w:t>
      </w:r>
      <w:r>
        <w:rPr>
          <w:rStyle w:val="normaltextrun"/>
          <w:szCs w:val="22"/>
        </w:rPr>
        <w:t xml:space="preserve">, Canada-U.S., Canada Treaty Series </w:t>
      </w:r>
      <w:r w:rsidRPr="00F43D15">
        <w:rPr>
          <w:rStyle w:val="normaltextrun"/>
          <w:szCs w:val="22"/>
        </w:rPr>
        <w:t>1997/22</w:t>
      </w:r>
      <w:r>
        <w:rPr>
          <w:rStyle w:val="normaltextrun"/>
          <w:szCs w:val="22"/>
        </w:rPr>
        <w:t xml:space="preserve">, superseded </w:t>
      </w:r>
      <w:r w:rsidRPr="00F933D5">
        <w:rPr>
          <w:rStyle w:val="normaltextrun"/>
          <w:szCs w:val="22"/>
        </w:rPr>
        <w:t>as implemented by the</w:t>
      </w:r>
      <w:r>
        <w:rPr>
          <w:rStyle w:val="normaltextrun"/>
          <w:i/>
          <w:iCs/>
          <w:szCs w:val="22"/>
        </w:rPr>
        <w:t xml:space="preserve"> </w:t>
      </w:r>
      <w:r w:rsidRPr="00760DBE">
        <w:t xml:space="preserve">Transitional Arrangement Between the Federal </w:t>
      </w:r>
      <w:r w:rsidRPr="00F43D15">
        <w:t>Communications Commission and the National Telecommunications and Information Administration of the United States of America, of the First Part, and Innovation, Science and Economic Development Canada, of the Second Part, on the Provisional Application of the General Coordination Agreement between the United States of America and Canada on the Use of the Radio Frequency Spectrum by Terrestrial Radiocommunication Stations and Earth Stations</w:t>
      </w:r>
      <w:r>
        <w:t xml:space="preserve">, Canada-U.S., </w:t>
      </w:r>
      <w:r>
        <w:rPr>
          <w:i/>
          <w:iCs/>
        </w:rPr>
        <w:t>signed January 14 and January 28, 2021</w:t>
      </w:r>
      <w:r>
        <w:t xml:space="preserve">.  </w:t>
      </w:r>
      <w:hyperlink r:id="rId3" w:history="1">
        <w:r w:rsidRPr="009F7FC3">
          <w:rPr>
            <w:rStyle w:val="Hyperlink"/>
            <w:szCs w:val="22"/>
          </w:rPr>
          <w:t>https://www.fcc.gov/broadcast-agreements-canada</w:t>
        </w:r>
      </w:hyperlink>
      <w:r>
        <w:rPr>
          <w:rStyle w:val="normaltextrun"/>
          <w:szCs w:val="22"/>
        </w:rPr>
        <w:t xml:space="preserve"> (</w:t>
      </w:r>
      <w:r w:rsidRPr="0030410C">
        <w:rPr>
          <w:i/>
          <w:iCs/>
        </w:rPr>
        <w:t>1991 U.S. – Canada FM Broadcasting Agreement</w:t>
      </w:r>
      <w:r>
        <w:t xml:space="preserve"> and the </w:t>
      </w:r>
      <w:r>
        <w:rPr>
          <w:i/>
          <w:iCs/>
        </w:rPr>
        <w:t>1997 Amendment to the 1991 U.S.-Canada FM Broadcasting Agreement</w:t>
      </w:r>
      <w:r>
        <w:t>, respectively)</w:t>
      </w:r>
      <w:r>
        <w:rPr>
          <w:rStyle w:val="normaltextrun"/>
          <w:i/>
          <w:iCs/>
          <w:szCs w:val="22"/>
        </w:rPr>
        <w:t>.</w:t>
      </w:r>
    </w:p>
  </w:footnote>
  <w:footnote w:id="57">
    <w:p w:rsidR="00793DF2" w:rsidRPr="00026FB4" w:rsidP="00CB155D" w14:paraId="1A5D1BBC" w14:textId="49BD2258">
      <w:pPr>
        <w:pStyle w:val="FootnoteText"/>
      </w:pPr>
      <w:r>
        <w:rPr>
          <w:rStyle w:val="FootnoteReference"/>
        </w:rPr>
        <w:footnoteRef/>
      </w:r>
      <w:r>
        <w:t xml:space="preserve"> </w:t>
      </w:r>
      <w:r>
        <w:rPr>
          <w:i/>
          <w:iCs/>
        </w:rPr>
        <w:t xml:space="preserve">See </w:t>
      </w:r>
      <w:r>
        <w:t>Read Comments at 1; Schober Comments at 1; REC Comments at 2; NAB Comments at 2-7.</w:t>
      </w:r>
    </w:p>
  </w:footnote>
  <w:footnote w:id="58">
    <w:p w:rsidR="00793DF2" w:rsidRPr="00C76049" w14:paraId="0EFE1481" w14:textId="28F83E02">
      <w:pPr>
        <w:pStyle w:val="FootnoteText"/>
      </w:pPr>
      <w:r>
        <w:rPr>
          <w:rStyle w:val="FootnoteReference"/>
        </w:rPr>
        <w:footnoteRef/>
      </w:r>
      <w:r>
        <w:t xml:space="preserve"> </w:t>
      </w:r>
      <w:r>
        <w:rPr>
          <w:i/>
          <w:iCs/>
        </w:rPr>
        <w:t>See NPRM</w:t>
      </w:r>
      <w:r>
        <w:t xml:space="preserve">, App. B; NAB Comments at 6. </w:t>
      </w:r>
    </w:p>
  </w:footnote>
  <w:footnote w:id="59">
    <w:p w:rsidR="00793DF2" w14:paraId="52E376E3" w14:textId="09C9AA94">
      <w:pPr>
        <w:pStyle w:val="FootnoteText"/>
      </w:pPr>
      <w:r>
        <w:rPr>
          <w:rStyle w:val="FootnoteReference"/>
        </w:rPr>
        <w:footnoteRef/>
      </w:r>
      <w:r>
        <w:t xml:space="preserve"> </w:t>
      </w:r>
      <w:r>
        <w:rPr>
          <w:i/>
          <w:iCs/>
        </w:rPr>
        <w:t>See 1991 U.S.-Canada FM Broadcasting Agreement</w:t>
      </w:r>
      <w:r>
        <w:t xml:space="preserve">, Section 2.4; </w:t>
      </w:r>
      <w:r>
        <w:rPr>
          <w:i/>
          <w:iCs/>
        </w:rPr>
        <w:t>1997 Amendment to the 1991 U.S.-Canada FM Broadcasting Agreement</w:t>
      </w:r>
      <w:r>
        <w:t>, para. 3 (amending Section 2.4).</w:t>
      </w:r>
    </w:p>
  </w:footnote>
  <w:footnote w:id="60">
    <w:p w:rsidR="00793DF2" w:rsidRPr="00B17F7B" w:rsidP="00F12892" w14:paraId="574F5B1C" w14:textId="5127C240">
      <w:pPr>
        <w:pStyle w:val="FootnoteText"/>
        <w:widowControl w:val="0"/>
      </w:pPr>
      <w:r>
        <w:rPr>
          <w:rStyle w:val="FootnoteReference"/>
        </w:rPr>
        <w:footnoteRef/>
      </w:r>
      <w:r>
        <w:t xml:space="preserve"> </w:t>
      </w:r>
      <w:r>
        <w:rPr>
          <w:i/>
          <w:iCs/>
        </w:rPr>
        <w:t>See 1991 U.S.-Canada FM Broadcasting Agreement</w:t>
      </w:r>
      <w:r>
        <w:t xml:space="preserve">, Section 5.2; </w:t>
      </w:r>
      <w:r>
        <w:rPr>
          <w:i/>
          <w:iCs/>
        </w:rPr>
        <w:t>1997 Amendment to the 1991 U.S.-Canada FM Broadcasting Agreement</w:t>
      </w:r>
      <w:r>
        <w:t>, paras. 9-10 (amending Section 5.2).</w:t>
      </w:r>
    </w:p>
  </w:footnote>
  <w:footnote w:id="61">
    <w:p w:rsidR="00793DF2" w14:paraId="031E0B41" w14:textId="455B6E1E">
      <w:pPr>
        <w:pStyle w:val="FootnoteText"/>
      </w:pPr>
      <w:r>
        <w:rPr>
          <w:rStyle w:val="FootnoteReference"/>
        </w:rPr>
        <w:footnoteRef/>
      </w:r>
      <w:r>
        <w:t xml:space="preserve"> NAB Comments at 5-6.</w:t>
      </w:r>
    </w:p>
  </w:footnote>
  <w:footnote w:id="62">
    <w:p w:rsidR="00793DF2" w14:paraId="4E454908" w14:textId="08006FEE">
      <w:pPr>
        <w:pStyle w:val="FootnoteText"/>
      </w:pPr>
      <w:r>
        <w:rPr>
          <w:rStyle w:val="FootnoteReference"/>
        </w:rPr>
        <w:footnoteRef/>
      </w:r>
      <w:r>
        <w:t xml:space="preserve"> </w:t>
      </w:r>
      <w:r>
        <w:rPr>
          <w:i/>
          <w:iCs/>
        </w:rPr>
        <w:t>Id</w:t>
      </w:r>
      <w:r>
        <w:t>.</w:t>
      </w:r>
    </w:p>
  </w:footnote>
  <w:footnote w:id="63">
    <w:p w:rsidR="00793DF2" w:rsidRPr="00D00A0B" w14:paraId="41DECC86" w14:textId="718CE1C3">
      <w:pPr>
        <w:pStyle w:val="FootnoteText"/>
      </w:pPr>
      <w:r>
        <w:rPr>
          <w:rStyle w:val="FootnoteReference"/>
        </w:rPr>
        <w:footnoteRef/>
      </w:r>
      <w:r>
        <w:t xml:space="preserve"> </w:t>
      </w:r>
      <w:r>
        <w:rPr>
          <w:i/>
          <w:iCs/>
        </w:rPr>
        <w:t>See</w:t>
      </w:r>
      <w:r>
        <w:t xml:space="preserve"> </w:t>
      </w:r>
      <w:r>
        <w:rPr>
          <w:snapToGrid w:val="0"/>
        </w:rPr>
        <w:t>47 CFR § 73.1650.</w:t>
      </w:r>
    </w:p>
  </w:footnote>
  <w:footnote w:id="64">
    <w:p w:rsidR="00793DF2" w:rsidRPr="00F15CE2" w14:paraId="5A4526E5" w14:textId="0AC1418E">
      <w:pPr>
        <w:pStyle w:val="FootnoteText"/>
        <w:rPr>
          <w:i/>
          <w:iCs/>
        </w:rPr>
      </w:pPr>
      <w:r>
        <w:rPr>
          <w:rStyle w:val="FootnoteReference"/>
        </w:rPr>
        <w:footnoteRef/>
      </w:r>
      <w:r>
        <w:t xml:space="preserve"> Any such application would also be subject to the referral procedure set out in section 3.5.3 of the </w:t>
      </w:r>
      <w:r>
        <w:rPr>
          <w:i/>
          <w:iCs/>
        </w:rPr>
        <w:t>1991 U.S.-Canada FM Broadcasting Agreement</w:t>
      </w:r>
      <w:r>
        <w:t>.</w:t>
      </w:r>
    </w:p>
  </w:footnote>
  <w:footnote w:id="65">
    <w:p w:rsidR="00793DF2" w:rsidP="00222AB6" w14:paraId="3E14B4AB" w14:textId="08E73259">
      <w:pPr>
        <w:pStyle w:val="FootnoteText"/>
        <w:widowControl w:val="0"/>
      </w:pPr>
      <w:r>
        <w:rPr>
          <w:rStyle w:val="FootnoteReference"/>
        </w:rPr>
        <w:footnoteRef/>
      </w:r>
      <w:r>
        <w:t xml:space="preserve"> </w:t>
      </w:r>
      <w:r>
        <w:rPr>
          <w:i/>
          <w:iCs/>
        </w:rPr>
        <w:t>1992 U.S.-Mexico Broadcasting Agreement</w:t>
      </w:r>
      <w:r>
        <w:t xml:space="preserve">, Section 7.3.  </w:t>
      </w:r>
    </w:p>
  </w:footnote>
  <w:footnote w:id="66">
    <w:p w:rsidR="00793DF2" w:rsidRPr="00E47EF5" w14:paraId="659BC119" w14:textId="4769D537">
      <w:pPr>
        <w:pStyle w:val="FootnoteText"/>
      </w:pPr>
      <w:r>
        <w:rPr>
          <w:rStyle w:val="FootnoteReference"/>
        </w:rPr>
        <w:footnoteRef/>
      </w:r>
      <w:r>
        <w:t xml:space="preserve"> </w:t>
      </w:r>
      <w:r>
        <w:rPr>
          <w:i/>
          <w:iCs/>
        </w:rPr>
        <w:t xml:space="preserve">See </w:t>
      </w:r>
      <w:r>
        <w:t>NAB Comments at 6.</w:t>
      </w:r>
    </w:p>
  </w:footnote>
  <w:footnote w:id="67">
    <w:p w:rsidR="00793DF2" w:rsidRPr="00524D71" w14:paraId="13B36140" w14:textId="771977D5">
      <w:pPr>
        <w:pStyle w:val="FootnoteText"/>
      </w:pPr>
      <w:r>
        <w:rPr>
          <w:rStyle w:val="FootnoteReference"/>
        </w:rPr>
        <w:footnoteRef/>
      </w:r>
      <w:r>
        <w:t xml:space="preserve"> Section 1.1.2 of the </w:t>
      </w:r>
      <w:r>
        <w:rPr>
          <w:i/>
          <w:iCs/>
        </w:rPr>
        <w:t>1992 U.S.-Mexico Broadcasting Agreement</w:t>
      </w:r>
      <w:r>
        <w:t xml:space="preserve"> states that a station will be considered Class C if its protected contour is greater than that of a Class C1 allotment and less than or equal to that of a Class C allotment.</w:t>
      </w:r>
    </w:p>
  </w:footnote>
  <w:footnote w:id="68">
    <w:p w:rsidR="00793DF2" w:rsidRPr="00CA0FCB" w14:paraId="7FCA6240" w14:textId="665BE1CB">
      <w:pPr>
        <w:pStyle w:val="FootnoteText"/>
      </w:pPr>
      <w:r>
        <w:rPr>
          <w:rStyle w:val="FootnoteReference"/>
        </w:rPr>
        <w:footnoteRef/>
      </w:r>
      <w:r>
        <w:t xml:space="preserve"> </w:t>
      </w:r>
      <w:r>
        <w:rPr>
          <w:i/>
          <w:iCs/>
        </w:rPr>
        <w:t xml:space="preserve">See </w:t>
      </w:r>
      <w:r>
        <w:t xml:space="preserve">NAB Comments at 6-7. </w:t>
      </w:r>
    </w:p>
  </w:footnote>
  <w:footnote w:id="69">
    <w:p w:rsidR="00793DF2" w14:paraId="03EA17E7" w14:textId="3AC22C65">
      <w:pPr>
        <w:pStyle w:val="FootnoteText"/>
      </w:pPr>
      <w:r>
        <w:rPr>
          <w:rStyle w:val="FootnoteReference"/>
        </w:rPr>
        <w:footnoteRef/>
      </w:r>
      <w:r>
        <w:t xml:space="preserve"> These formatting changes include numbering and re-titling the tables by reference to the paragraphs they modify, replacing hyphenated station relations (e.g. “A-A”) in the table to section 73.207(b)(2) with “to” (e.g., “A to A”) to match the other tables in the section, and updating internal cross-references to the renamed tables.  We also amend the cross-references in section 73.507(c)(1) and (2) to reflect the updated table titles of section 73.207(b).  As editorial, non-substantive changes, with no change in meaning and no significance to the industry or general public, </w:t>
      </w:r>
      <w:r w:rsidRPr="00500C46">
        <w:rPr>
          <w:szCs w:val="22"/>
        </w:rPr>
        <w:t xml:space="preserve">we conclude that notice and comment procedures </w:t>
      </w:r>
      <w:r>
        <w:rPr>
          <w:szCs w:val="22"/>
        </w:rPr>
        <w:t xml:space="preserve">for these changes </w:t>
      </w:r>
      <w:r w:rsidRPr="00500C46">
        <w:rPr>
          <w:szCs w:val="22"/>
        </w:rPr>
        <w:t xml:space="preserve">are </w:t>
      </w:r>
      <w:r>
        <w:rPr>
          <w:szCs w:val="22"/>
        </w:rPr>
        <w:t>“</w:t>
      </w:r>
      <w:r w:rsidRPr="00500C46">
        <w:rPr>
          <w:szCs w:val="22"/>
        </w:rPr>
        <w:t>unnecessary</w:t>
      </w:r>
      <w:r>
        <w:rPr>
          <w:szCs w:val="22"/>
        </w:rPr>
        <w:t xml:space="preserve">” </w:t>
      </w:r>
      <w:r w:rsidRPr="00500C46">
        <w:rPr>
          <w:szCs w:val="22"/>
        </w:rPr>
        <w:t xml:space="preserve">under the “good cause” exception of the </w:t>
      </w:r>
      <w:r>
        <w:t xml:space="preserve">Administrative Procedure Act (APA).  </w:t>
      </w:r>
      <w:r>
        <w:rPr>
          <w:i/>
          <w:iCs/>
        </w:rPr>
        <w:t xml:space="preserve">See supra </w:t>
      </w:r>
      <w:r>
        <w:t xml:space="preserve">note 38. </w:t>
      </w:r>
    </w:p>
  </w:footnote>
  <w:footnote w:id="70">
    <w:p w:rsidR="00793DF2" w:rsidRPr="00AE1AEB" w14:paraId="698920A1" w14:textId="221B5953">
      <w:pPr>
        <w:pStyle w:val="FootnoteText"/>
      </w:pPr>
      <w:r>
        <w:rPr>
          <w:rStyle w:val="FootnoteReference"/>
        </w:rPr>
        <w:footnoteRef/>
      </w:r>
      <w:r>
        <w:t xml:space="preserve"> </w:t>
      </w:r>
      <w:r>
        <w:rPr>
          <w:i/>
          <w:iCs/>
        </w:rPr>
        <w:t xml:space="preserve">See NPRM </w:t>
      </w:r>
      <w:r>
        <w:t>at 6-7.</w:t>
      </w:r>
    </w:p>
  </w:footnote>
  <w:footnote w:id="71">
    <w:p w:rsidR="00793DF2" w14:paraId="77904280" w14:textId="2F0073E6">
      <w:pPr>
        <w:pStyle w:val="FootnoteText"/>
      </w:pPr>
      <w:r>
        <w:rPr>
          <w:rStyle w:val="FootnoteReference"/>
        </w:rPr>
        <w:footnoteRef/>
      </w:r>
      <w:r>
        <w:t xml:space="preserve"> </w:t>
      </w:r>
      <w:r w:rsidRPr="00793DF2">
        <w:t xml:space="preserve">In the </w:t>
      </w:r>
      <w:r w:rsidRPr="00793DF2">
        <w:rPr>
          <w:i/>
          <w:iCs/>
        </w:rPr>
        <w:t>NPRM</w:t>
      </w:r>
      <w:r w:rsidRPr="00793DF2">
        <w:t>, we proposed revising the introduction and deleting section 74.1235(d)(3).  However, for formatting consistency between the Mexican and Canadian provisions, we retain (d)(3) as is and instead delete the conflicting introductory text.</w:t>
      </w:r>
    </w:p>
  </w:footnote>
  <w:footnote w:id="72">
    <w:p w:rsidR="00793DF2" w:rsidP="00143CC1" w14:paraId="4EB55A01" w14:textId="568566FF">
      <w:pPr>
        <w:pStyle w:val="FootnoteText"/>
        <w:widowControl w:val="0"/>
      </w:pPr>
      <w:r>
        <w:rPr>
          <w:rStyle w:val="FootnoteReference"/>
        </w:rPr>
        <w:footnoteRef/>
      </w:r>
      <w:r>
        <w:t xml:space="preserve"> </w:t>
      </w:r>
      <w:r>
        <w:rPr>
          <w:i/>
          <w:iCs/>
        </w:rPr>
        <w:t>See 1991 U.S.-Canada FM Broadcasting Agreement</w:t>
      </w:r>
      <w:r>
        <w:t>, Section 4.3;</w:t>
      </w:r>
      <w:r>
        <w:rPr>
          <w:i/>
          <w:iCs/>
        </w:rPr>
        <w:t xml:space="preserve"> </w:t>
      </w:r>
      <w:r w:rsidRPr="005E5DD1">
        <w:rPr>
          <w:i/>
          <w:iCs/>
        </w:rPr>
        <w:t>U.S.-Canada FM Agreement Modified to Permit</w:t>
      </w:r>
      <w:r>
        <w:rPr>
          <w:i/>
          <w:iCs/>
        </w:rPr>
        <w:t xml:space="preserve"> </w:t>
      </w:r>
      <w:r w:rsidRPr="005E5DD1">
        <w:rPr>
          <w:i/>
          <w:iCs/>
        </w:rPr>
        <w:t xml:space="preserve">Added Flexibility for FM Translators in 97-22, </w:t>
      </w:r>
      <w:r w:rsidRPr="005E5DD1">
        <w:t xml:space="preserve">Public Notice, </w:t>
      </w:r>
      <w:r>
        <w:t>13 FCC Rcd 4795</w:t>
      </w:r>
      <w:r w:rsidRPr="005E5DD1">
        <w:t xml:space="preserve"> (July 28, 1997)</w:t>
      </w:r>
      <w:r>
        <w:t xml:space="preserve">. </w:t>
      </w:r>
    </w:p>
  </w:footnote>
  <w:footnote w:id="73">
    <w:p w:rsidR="00793DF2" w14:paraId="76DEFA24" w14:textId="5E7626DC">
      <w:pPr>
        <w:pStyle w:val="FootnoteText"/>
      </w:pPr>
      <w:r>
        <w:rPr>
          <w:rStyle w:val="FootnoteReference"/>
        </w:rPr>
        <w:footnoteRef/>
      </w:r>
      <w:r>
        <w:t xml:space="preserve"> </w:t>
      </w:r>
      <w:r>
        <w:rPr>
          <w:i/>
          <w:iCs/>
        </w:rPr>
        <w:t>1992 U.S.-Mexico Broadcasting Agreement</w:t>
      </w:r>
      <w:r>
        <w:t xml:space="preserve">, Section 3.1.  </w:t>
      </w:r>
    </w:p>
  </w:footnote>
  <w:footnote w:id="74">
    <w:p w:rsidR="00793DF2" w:rsidRPr="00454CED" w14:paraId="5AE39971" w14:textId="10BA0BD1">
      <w:pPr>
        <w:pStyle w:val="FootnoteText"/>
      </w:pPr>
      <w:r>
        <w:rPr>
          <w:rStyle w:val="FootnoteReference"/>
        </w:rPr>
        <w:footnoteRef/>
      </w:r>
      <w:r>
        <w:t xml:space="preserve"> </w:t>
      </w:r>
      <w:r>
        <w:rPr>
          <w:i/>
          <w:iCs/>
        </w:rPr>
        <w:t>See NPRM</w:t>
      </w:r>
      <w:r>
        <w:t>, n.44.</w:t>
      </w:r>
    </w:p>
  </w:footnote>
  <w:footnote w:id="75">
    <w:p w:rsidR="00793DF2" w:rsidRPr="00D046F6" w:rsidP="002E60ED" w14:paraId="54B2D66B" w14:textId="77777777">
      <w:pPr>
        <w:pStyle w:val="FootnoteText"/>
        <w:widowControl w:val="0"/>
      </w:pPr>
      <w:r w:rsidRPr="00D046F6">
        <w:rPr>
          <w:rStyle w:val="FootnoteReference"/>
        </w:rPr>
        <w:footnoteRef/>
      </w:r>
      <w:r w:rsidRPr="00D046F6">
        <w:t xml:space="preserve"> </w:t>
      </w:r>
      <w:r w:rsidRPr="00D046F6">
        <w:rPr>
          <w:i/>
        </w:rPr>
        <w:t>See</w:t>
      </w:r>
      <w:r w:rsidRPr="00D046F6">
        <w:t xml:space="preserve"> 5 U.S.C. § 603.  The RFA, </w:t>
      </w:r>
      <w:r w:rsidRPr="00D046F6">
        <w:rPr>
          <w:i/>
        </w:rPr>
        <w:t>see</w:t>
      </w:r>
      <w:r w:rsidRPr="00D046F6">
        <w:t xml:space="preserve"> 5 U.S.C. § 601, </w:t>
      </w:r>
      <w:r w:rsidRPr="00D046F6">
        <w:rPr>
          <w:i/>
        </w:rPr>
        <w:t>et. seq.,</w:t>
      </w:r>
      <w:r w:rsidRPr="00D046F6">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76">
    <w:p w:rsidR="00793DF2" w:rsidRPr="00D046F6" w:rsidP="002E60ED" w14:paraId="6BD8B16B" w14:textId="528DC7CD">
      <w:pPr>
        <w:pStyle w:val="FootnoteText"/>
        <w:widowControl w:val="0"/>
      </w:pPr>
      <w:r w:rsidRPr="00D046F6">
        <w:rPr>
          <w:rStyle w:val="FootnoteReference"/>
        </w:rPr>
        <w:footnoteRef/>
      </w:r>
      <w:r w:rsidRPr="00D046F6">
        <w:rPr>
          <w:i/>
        </w:rPr>
        <w:t xml:space="preserve"> NPRM</w:t>
      </w:r>
      <w:r>
        <w:t xml:space="preserve"> at App B</w:t>
      </w:r>
      <w:r w:rsidRPr="00D046F6">
        <w:t xml:space="preserve">. </w:t>
      </w:r>
    </w:p>
  </w:footnote>
  <w:footnote w:id="77">
    <w:p w:rsidR="00793DF2" w:rsidRPr="00D046F6" w:rsidP="002E60ED" w14:paraId="731B3AF2" w14:textId="77777777">
      <w:pPr>
        <w:pStyle w:val="FootnoteText"/>
        <w:widowControl w:val="0"/>
      </w:pPr>
      <w:r w:rsidRPr="00D046F6">
        <w:rPr>
          <w:rStyle w:val="FootnoteReference"/>
        </w:rPr>
        <w:footnoteRef/>
      </w:r>
      <w:r w:rsidRPr="00D046F6">
        <w:t xml:space="preserve"> </w:t>
      </w:r>
      <w:r w:rsidRPr="00D046F6">
        <w:rPr>
          <w:i/>
        </w:rPr>
        <w:t>See</w:t>
      </w:r>
      <w:r w:rsidRPr="00D046F6">
        <w:t xml:space="preserve"> 5 U.S.C. § 604.</w:t>
      </w:r>
    </w:p>
  </w:footnote>
  <w:footnote w:id="78">
    <w:p w:rsidR="00793DF2" w:rsidRPr="00D046F6" w:rsidP="00DC485B" w14:paraId="19098BBF" w14:textId="3D0340BE">
      <w:pPr>
        <w:pStyle w:val="FootnoteText"/>
        <w:widowControl w:val="0"/>
        <w:jc w:val="both"/>
      </w:pPr>
      <w:r>
        <w:rPr>
          <w:rStyle w:val="FootnoteReference"/>
        </w:rPr>
        <w:footnoteRef/>
      </w:r>
      <w:r w:rsidRPr="00D046F6">
        <w:t xml:space="preserve"> </w:t>
      </w:r>
      <w:r w:rsidRPr="00D046F6">
        <w:rPr>
          <w:i/>
        </w:rPr>
        <w:t>See</w:t>
      </w:r>
      <w:r w:rsidRPr="00D046F6">
        <w:t xml:space="preserve"> 5 U.S.C. § 603.  The RFA, </w:t>
      </w:r>
      <w:r w:rsidRPr="00D046F6">
        <w:rPr>
          <w:i/>
        </w:rPr>
        <w:t>see</w:t>
      </w:r>
      <w:r w:rsidRPr="00D046F6">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79">
    <w:p w:rsidR="00793DF2" w:rsidRPr="00D046F6" w:rsidP="00DC485B" w14:paraId="1E42E56C" w14:textId="77777777">
      <w:pPr>
        <w:pStyle w:val="FootnoteText"/>
        <w:widowControl w:val="0"/>
        <w:jc w:val="both"/>
      </w:pPr>
      <w:r w:rsidRPr="00D046F6">
        <w:rPr>
          <w:rStyle w:val="FootnoteReference"/>
        </w:rPr>
        <w:footnoteRef/>
      </w:r>
      <w:r w:rsidRPr="00D046F6">
        <w:t xml:space="preserve"> </w:t>
      </w:r>
      <w:r>
        <w:rPr>
          <w:i/>
          <w:iCs/>
        </w:rPr>
        <w:t>Updating Broadcast Radio Technical Rules</w:t>
      </w:r>
      <w:r>
        <w:t>, Notice of Proposed Rulemaking, FCC 21-84 (July 12, 2021).</w:t>
      </w:r>
    </w:p>
  </w:footnote>
  <w:footnote w:id="80">
    <w:p w:rsidR="00793DF2" w:rsidRPr="00D046F6" w:rsidP="00DC485B" w14:paraId="07681B35" w14:textId="77777777">
      <w:pPr>
        <w:pStyle w:val="FootnoteText"/>
        <w:widowControl w:val="0"/>
        <w:jc w:val="both"/>
      </w:pPr>
      <w:r w:rsidRPr="00D046F6">
        <w:rPr>
          <w:rStyle w:val="FootnoteReference"/>
        </w:rPr>
        <w:footnoteRef/>
      </w:r>
      <w:r w:rsidRPr="00D046F6">
        <w:t xml:space="preserve"> </w:t>
      </w:r>
      <w:r w:rsidRPr="00D046F6">
        <w:rPr>
          <w:i/>
        </w:rPr>
        <w:t>See</w:t>
      </w:r>
      <w:r w:rsidRPr="00D046F6">
        <w:t xml:space="preserve"> 5 U.S.C. § 604.</w:t>
      </w:r>
    </w:p>
  </w:footnote>
  <w:footnote w:id="81">
    <w:p w:rsidR="00793DF2" w14:paraId="3AE16D30" w14:textId="3EA43DFC">
      <w:pPr>
        <w:pStyle w:val="FootnoteText"/>
      </w:pPr>
      <w:r>
        <w:rPr>
          <w:rStyle w:val="FootnoteReference"/>
        </w:rPr>
        <w:footnoteRef/>
      </w:r>
      <w:r>
        <w:t xml:space="preserve"> </w:t>
      </w:r>
      <w:r>
        <w:rPr>
          <w:i/>
          <w:iCs/>
        </w:rPr>
        <w:t xml:space="preserve">See supra </w:t>
      </w:r>
      <w:r>
        <w:t>para. 5.</w:t>
      </w:r>
    </w:p>
  </w:footnote>
  <w:footnote w:id="82">
    <w:p w:rsidR="00793DF2" w14:paraId="4C0CEE34" w14:textId="28ED269D">
      <w:pPr>
        <w:pStyle w:val="FootnoteText"/>
      </w:pPr>
      <w:r>
        <w:rPr>
          <w:rStyle w:val="FootnoteReference"/>
        </w:rPr>
        <w:footnoteRef/>
      </w:r>
      <w:r>
        <w:t xml:space="preserve"> </w:t>
      </w:r>
      <w:r>
        <w:rPr>
          <w:i/>
          <w:iCs/>
        </w:rPr>
        <w:t xml:space="preserve">See supra </w:t>
      </w:r>
      <w:r>
        <w:t>para. 6.</w:t>
      </w:r>
    </w:p>
  </w:footnote>
  <w:footnote w:id="83">
    <w:p w:rsidR="00793DF2" w14:paraId="13BCDA3E" w14:textId="78EE8EF0">
      <w:pPr>
        <w:pStyle w:val="FootnoteText"/>
      </w:pPr>
      <w:r>
        <w:rPr>
          <w:rStyle w:val="FootnoteReference"/>
        </w:rPr>
        <w:footnoteRef/>
      </w:r>
      <w:r>
        <w:t xml:space="preserve"> </w:t>
      </w:r>
      <w:r>
        <w:rPr>
          <w:i/>
          <w:iCs/>
        </w:rPr>
        <w:t xml:space="preserve">See supra </w:t>
      </w:r>
      <w:r>
        <w:t>para. 12.</w:t>
      </w:r>
    </w:p>
  </w:footnote>
  <w:footnote w:id="84">
    <w:p w:rsidR="00793DF2" w14:paraId="438254C9" w14:textId="5EFA730B">
      <w:pPr>
        <w:pStyle w:val="FootnoteText"/>
      </w:pPr>
      <w:r>
        <w:rPr>
          <w:rStyle w:val="FootnoteReference"/>
        </w:rPr>
        <w:footnoteRef/>
      </w:r>
      <w:r>
        <w:t xml:space="preserve"> </w:t>
      </w:r>
      <w:r>
        <w:rPr>
          <w:i/>
          <w:iCs/>
        </w:rPr>
        <w:t xml:space="preserve">See supra </w:t>
      </w:r>
      <w:r>
        <w:t>para. 13.</w:t>
      </w:r>
    </w:p>
  </w:footnote>
  <w:footnote w:id="85">
    <w:p w:rsidR="00793DF2" w14:paraId="5E29ED0D" w14:textId="12B25060">
      <w:pPr>
        <w:pStyle w:val="FootnoteText"/>
      </w:pPr>
      <w:r>
        <w:rPr>
          <w:rStyle w:val="FootnoteReference"/>
        </w:rPr>
        <w:footnoteRef/>
      </w:r>
      <w:r>
        <w:t xml:space="preserve"> </w:t>
      </w:r>
      <w:r>
        <w:rPr>
          <w:i/>
          <w:iCs/>
        </w:rPr>
        <w:t xml:space="preserve">See supra </w:t>
      </w:r>
      <w:r>
        <w:t>para. 14.</w:t>
      </w:r>
    </w:p>
  </w:footnote>
  <w:footnote w:id="86">
    <w:p w:rsidR="00793DF2" w14:paraId="1C610746" w14:textId="5B63683D">
      <w:pPr>
        <w:pStyle w:val="FootnoteText"/>
      </w:pPr>
      <w:r>
        <w:rPr>
          <w:rStyle w:val="FootnoteReference"/>
        </w:rPr>
        <w:footnoteRef/>
      </w:r>
      <w:r>
        <w:t xml:space="preserve"> </w:t>
      </w:r>
      <w:r>
        <w:rPr>
          <w:i/>
          <w:iCs/>
        </w:rPr>
        <w:t xml:space="preserve">See supra </w:t>
      </w:r>
      <w:r>
        <w:t>para. 15-18.</w:t>
      </w:r>
    </w:p>
  </w:footnote>
  <w:footnote w:id="87">
    <w:p w:rsidR="00793DF2" w:rsidRPr="00D046F6" w:rsidP="00DC485B" w14:paraId="3FE871DB" w14:textId="77777777">
      <w:pPr>
        <w:pStyle w:val="FootnoteText"/>
        <w:widowControl w:val="0"/>
      </w:pPr>
      <w:r w:rsidRPr="00D046F6">
        <w:rPr>
          <w:rStyle w:val="FootnoteReference"/>
        </w:rPr>
        <w:footnoteRef/>
      </w:r>
      <w:r w:rsidRPr="00D046F6">
        <w:t xml:space="preserve"> 5 U.S.C. § 604(a)(3).</w:t>
      </w:r>
    </w:p>
  </w:footnote>
  <w:footnote w:id="88">
    <w:p w:rsidR="00793DF2" w:rsidRPr="00D046F6" w:rsidP="00DC485B" w14:paraId="5364C1D6" w14:textId="77777777">
      <w:pPr>
        <w:pStyle w:val="FootnoteText"/>
        <w:widowControl w:val="0"/>
      </w:pPr>
      <w:r w:rsidRPr="00D046F6">
        <w:rPr>
          <w:rStyle w:val="FootnoteReference"/>
        </w:rPr>
        <w:footnoteRef/>
      </w:r>
      <w:r w:rsidRPr="00D046F6">
        <w:t xml:space="preserve"> </w:t>
      </w:r>
      <w:r w:rsidRPr="00D046F6">
        <w:rPr>
          <w:i/>
        </w:rPr>
        <w:t>Id</w:t>
      </w:r>
      <w:r w:rsidRPr="00D046F6">
        <w:t>. § 603(b)(3).</w:t>
      </w:r>
    </w:p>
  </w:footnote>
  <w:footnote w:id="89">
    <w:p w:rsidR="00793DF2" w:rsidRPr="00D046F6" w:rsidP="00DC485B" w14:paraId="5B6D226E" w14:textId="77777777">
      <w:pPr>
        <w:pStyle w:val="FootnoteText"/>
        <w:widowControl w:val="0"/>
      </w:pPr>
      <w:r w:rsidRPr="00D046F6">
        <w:rPr>
          <w:rStyle w:val="FootnoteReference"/>
        </w:rPr>
        <w:footnoteRef/>
      </w:r>
      <w:r w:rsidRPr="00D046F6">
        <w:t xml:space="preserve"> </w:t>
      </w:r>
      <w:r w:rsidRPr="00D046F6">
        <w:rPr>
          <w:i/>
        </w:rPr>
        <w:t>Id</w:t>
      </w:r>
      <w:r w:rsidRPr="00D046F6">
        <w:t>. § 601(6).</w:t>
      </w:r>
    </w:p>
  </w:footnote>
  <w:footnote w:id="90">
    <w:p w:rsidR="00793DF2" w:rsidRPr="00EA2018" w:rsidP="00DC485B" w14:paraId="04CEC130" w14:textId="77777777">
      <w:pPr>
        <w:pStyle w:val="FootnoteText"/>
        <w:widowControl w:val="0"/>
        <w:jc w:val="both"/>
        <w:rPr>
          <w:lang w:val="fr-FR"/>
        </w:rPr>
      </w:pPr>
      <w:r w:rsidRPr="00D046F6">
        <w:rPr>
          <w:rStyle w:val="FootnoteReference"/>
        </w:rPr>
        <w:footnoteRef/>
      </w:r>
      <w:r w:rsidRPr="00D046F6">
        <w:t xml:space="preserve"> </w:t>
      </w:r>
      <w:r w:rsidRPr="00D046F6">
        <w:rPr>
          <w:i/>
        </w:rPr>
        <w:t>Id</w:t>
      </w:r>
      <w:r w:rsidRPr="00D046F6">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A2018">
        <w:rPr>
          <w:lang w:val="fr-FR"/>
        </w:rPr>
        <w:t>5 U.S.C. § 601(3).</w:t>
      </w:r>
    </w:p>
  </w:footnote>
  <w:footnote w:id="91">
    <w:p w:rsidR="00793DF2" w:rsidRPr="00EA2018" w:rsidP="00DC485B" w14:paraId="0AD5FF25" w14:textId="77777777">
      <w:pPr>
        <w:pStyle w:val="FootnoteText"/>
        <w:widowControl w:val="0"/>
        <w:jc w:val="both"/>
        <w:rPr>
          <w:lang w:val="fr-FR"/>
        </w:rPr>
      </w:pPr>
      <w:r w:rsidRPr="00D046F6">
        <w:rPr>
          <w:rStyle w:val="FootnoteReference"/>
        </w:rPr>
        <w:footnoteRef/>
      </w:r>
      <w:r w:rsidRPr="00EA2018">
        <w:rPr>
          <w:lang w:val="fr-FR"/>
        </w:rPr>
        <w:t xml:space="preserve"> 15 U.S.C. § 632.  </w:t>
      </w:r>
    </w:p>
  </w:footnote>
  <w:footnote w:id="92">
    <w:p w:rsidR="00793DF2" w:rsidRPr="003A11D4" w:rsidP="00DC485B" w14:paraId="4EA9E477" w14:textId="77777777">
      <w:pPr>
        <w:pStyle w:val="FootnoteText"/>
        <w:widowControl w:val="0"/>
      </w:pPr>
      <w:r w:rsidRPr="00D046F6">
        <w:rPr>
          <w:rStyle w:val="FootnoteReference"/>
        </w:rPr>
        <w:footnoteRef/>
      </w:r>
      <w:r w:rsidRPr="00492244">
        <w:t xml:space="preserve"> U.S. Census Bureau, 2012 NAICS Definitions, “515112 Radio Stations,” </w:t>
      </w:r>
      <w:hyperlink r:id="rId4" w:history="1">
        <w:hyperlink r:id="rId5" w:history="1">
          <w:r w:rsidRPr="003A11D4">
            <w:rPr>
              <w:rStyle w:val="Hyperlink"/>
            </w:rPr>
            <w:t>https://www.census.gov/cgi-bin/sssd/naics/naicsrch?input=515112&amp;search=2017+NAICS+Search&amp;search=2017</w:t>
          </w:r>
        </w:hyperlink>
      </w:hyperlink>
      <w:r w:rsidRPr="003A11D4">
        <w:t xml:space="preserve">.  </w:t>
      </w:r>
    </w:p>
  </w:footnote>
  <w:footnote w:id="93">
    <w:p w:rsidR="00793DF2" w:rsidRPr="003A11D4" w:rsidP="00DC485B" w14:paraId="66AE81A5" w14:textId="77777777">
      <w:pPr>
        <w:pStyle w:val="FootnoteText"/>
        <w:widowControl w:val="0"/>
      </w:pPr>
      <w:r w:rsidRPr="00D046F6">
        <w:rPr>
          <w:rStyle w:val="FootnoteReference"/>
        </w:rPr>
        <w:footnoteRef/>
      </w:r>
      <w:r w:rsidRPr="003A11D4">
        <w:t xml:space="preserve"> 13 CFR § 121.201, NAICS code 515112 Radio Stations.</w:t>
      </w:r>
    </w:p>
  </w:footnote>
  <w:footnote w:id="94">
    <w:p w:rsidR="00793DF2" w:rsidRPr="00D046F6" w:rsidP="00DC485B" w14:paraId="4FB07DAB" w14:textId="77777777">
      <w:pPr>
        <w:pStyle w:val="FootnoteText"/>
        <w:keepNext/>
      </w:pPr>
      <w:r w:rsidRPr="00D046F6">
        <w:rPr>
          <w:rStyle w:val="FootnoteReference"/>
        </w:rPr>
        <w:footnoteRef/>
      </w:r>
      <w:r w:rsidRPr="00D046F6">
        <w:t xml:space="preserve"> U.S. Census Bureau, Table No. EC1251SSSZ4, </w:t>
      </w:r>
      <w:r w:rsidRPr="00D046F6">
        <w:rPr>
          <w:i/>
          <w:iCs/>
        </w:rPr>
        <w:t>Information: Subject Series - Establishment and Firm Size: Receipts Size of Firms for the United States: 2012</w:t>
      </w:r>
      <w:r w:rsidRPr="00D046F6">
        <w:t xml:space="preserve"> (515112 Radio Stations) </w:t>
      </w:r>
      <w:hyperlink r:id="rId6" w:history="1">
        <w:r w:rsidRPr="00D046F6">
          <w:rPr>
            <w:rStyle w:val="Hyperlink"/>
          </w:rPr>
          <w:t>https://factfinder.census.gov/bkmk/table/1.0/en/ECN/2012_US/51SSSZ4//naics~515112|515120</w:t>
        </w:r>
      </w:hyperlink>
      <w:r w:rsidRPr="00D046F6">
        <w:t xml:space="preserve">.  </w:t>
      </w:r>
    </w:p>
  </w:footnote>
  <w:footnote w:id="95">
    <w:p w:rsidR="00793DF2" w:rsidRPr="00D046F6" w:rsidP="00DC485B" w14:paraId="40D1E416" w14:textId="77777777">
      <w:pPr>
        <w:pStyle w:val="FootnoteText"/>
        <w:widowControl w:val="0"/>
      </w:pPr>
      <w:r w:rsidRPr="00D046F6">
        <w:rPr>
          <w:rStyle w:val="FootnoteReference"/>
        </w:rPr>
        <w:footnoteRef/>
      </w:r>
      <w:r w:rsidRPr="00D046F6">
        <w:t xml:space="preserve"> </w:t>
      </w:r>
      <w:r w:rsidRPr="00D046F6">
        <w:rPr>
          <w:i/>
        </w:rPr>
        <w:t>Id.</w:t>
      </w:r>
    </w:p>
  </w:footnote>
  <w:footnote w:id="96">
    <w:p w:rsidR="00793DF2" w:rsidP="00DC485B" w14:paraId="4F27E719" w14:textId="77777777">
      <w:pPr>
        <w:pStyle w:val="FootnoteText"/>
      </w:pPr>
      <w:r>
        <w:rPr>
          <w:rStyle w:val="FootnoteReference"/>
        </w:rPr>
        <w:footnoteRef/>
      </w:r>
      <w:r>
        <w:t xml:space="preserve"> </w:t>
      </w:r>
      <w:r w:rsidRPr="00D046F6">
        <w:rPr>
          <w:i/>
          <w:iCs/>
        </w:rPr>
        <w:t xml:space="preserve">Broadcast Station Totals as of </w:t>
      </w:r>
      <w:r>
        <w:rPr>
          <w:i/>
          <w:iCs/>
        </w:rPr>
        <w:t>December 31, 2021</w:t>
      </w:r>
      <w:r w:rsidRPr="00D046F6">
        <w:t xml:space="preserve">, </w:t>
      </w:r>
      <w:r>
        <w:t>Public Notice, DA 22-2</w:t>
      </w:r>
      <w:r w:rsidRPr="00D046F6">
        <w:t xml:space="preserve"> (rel. </w:t>
      </w:r>
      <w:r>
        <w:t>Jan. 4, 2022</w:t>
      </w:r>
      <w:r w:rsidRPr="00D046F6">
        <w:t>) (</w:t>
      </w:r>
      <w:r w:rsidRPr="00D046F6">
        <w:rPr>
          <w:i/>
          <w:iCs/>
        </w:rPr>
        <w:t>Broadcast Station</w:t>
      </w:r>
      <w:r w:rsidRPr="00D046F6">
        <w:t xml:space="preserve"> </w:t>
      </w:r>
      <w:r w:rsidRPr="00D046F6">
        <w:rPr>
          <w:i/>
          <w:iCs/>
        </w:rPr>
        <w:t>Totals</w:t>
      </w:r>
      <w:r w:rsidRPr="00D046F6">
        <w:t xml:space="preserve">), </w:t>
      </w:r>
      <w:hyperlink r:id="rId7" w:history="1">
        <w:r w:rsidRPr="00BC38DA">
          <w:rPr>
            <w:rStyle w:val="Hyperlink"/>
          </w:rPr>
          <w:t>https://www.fcc.gov/document/broadcast-station-totals-december-31-2021</w:t>
        </w:r>
      </w:hyperlink>
      <w:r w:rsidRPr="00D046F6">
        <w:t>.</w:t>
      </w:r>
    </w:p>
  </w:footnote>
  <w:footnote w:id="97">
    <w:p w:rsidR="00793DF2" w:rsidRPr="00D046F6" w:rsidP="00DC485B" w14:paraId="48D99262" w14:textId="77777777">
      <w:pPr>
        <w:pStyle w:val="FootnoteText"/>
        <w:widowControl w:val="0"/>
        <w:rPr>
          <w:i/>
          <w:iCs/>
        </w:rPr>
      </w:pPr>
      <w:r w:rsidRPr="00D046F6">
        <w:rPr>
          <w:rStyle w:val="FootnoteReference"/>
        </w:rPr>
        <w:footnoteRef/>
      </w:r>
      <w:r w:rsidRPr="00D046F6">
        <w:t xml:space="preserve"> </w:t>
      </w:r>
      <w:r w:rsidRPr="00D046F6">
        <w:rPr>
          <w:i/>
          <w:iCs/>
        </w:rPr>
        <w:t>Id.</w:t>
      </w:r>
    </w:p>
  </w:footnote>
  <w:footnote w:id="98">
    <w:p w:rsidR="00793DF2" w:rsidRPr="00D046F6" w:rsidP="00DC485B" w14:paraId="5DD18D72" w14:textId="77777777">
      <w:pPr>
        <w:pStyle w:val="FootnoteText"/>
        <w:widowControl w:val="0"/>
      </w:pPr>
      <w:r w:rsidRPr="00D046F6">
        <w:rPr>
          <w:rStyle w:val="FootnoteReference"/>
        </w:rPr>
        <w:footnoteRef/>
      </w:r>
      <w:r w:rsidRPr="00D046F6">
        <w:t xml:space="preserve"> </w:t>
      </w:r>
      <w:r w:rsidRPr="00D046F6">
        <w:rPr>
          <w:color w:val="000000"/>
        </w:rPr>
        <w:t>“[Business concerns] are affiliates of each other when one concern controls or has the power to control the other or a third party or parties controls or has the power to control both.”  13 CFR § 121.103(a)(1).</w:t>
      </w:r>
    </w:p>
  </w:footnote>
  <w:footnote w:id="99">
    <w:p w:rsidR="00793DF2" w:rsidRPr="00D046F6" w:rsidP="00DC485B" w14:paraId="4B2C3211" w14:textId="77777777">
      <w:pPr>
        <w:pStyle w:val="FootnoteText"/>
        <w:widowControl w:val="0"/>
        <w:jc w:val="both"/>
      </w:pPr>
      <w:r w:rsidRPr="00D046F6">
        <w:rPr>
          <w:rStyle w:val="FootnoteReference"/>
        </w:rPr>
        <w:footnoteRef/>
      </w:r>
      <w:r w:rsidRPr="00D046F6">
        <w:t xml:space="preserve"> 5 U.S.C. § 603(c)(1)-(c)(4).</w:t>
      </w:r>
    </w:p>
  </w:footnote>
  <w:footnote w:id="100">
    <w:p w:rsidR="00793DF2" w:rsidRPr="00D046F6" w:rsidP="00DC485B" w14:paraId="7989A657" w14:textId="77777777">
      <w:pPr>
        <w:pStyle w:val="FootnoteText"/>
        <w:widowControl w:val="0"/>
        <w:tabs>
          <w:tab w:val="left" w:pos="0"/>
        </w:tabs>
        <w:jc w:val="both"/>
      </w:pPr>
      <w:r w:rsidRPr="00D046F6">
        <w:rPr>
          <w:rStyle w:val="FootnoteReference"/>
        </w:rPr>
        <w:footnoteRef/>
      </w:r>
      <w:r w:rsidRPr="00D046F6">
        <w:rPr>
          <w:i/>
        </w:rPr>
        <w:t xml:space="preserve"> See</w:t>
      </w:r>
      <w:r w:rsidRPr="00D046F6">
        <w:t xml:space="preserve"> </w:t>
      </w:r>
      <w:r w:rsidRPr="00D046F6">
        <w:rPr>
          <w:i/>
        </w:rPr>
        <w:t>id</w:t>
      </w:r>
      <w:r w:rsidRPr="00D046F6">
        <w:t>. § 801(a)(1)(A).</w:t>
      </w:r>
    </w:p>
  </w:footnote>
  <w:footnote w:id="101">
    <w:p w:rsidR="00793DF2" w:rsidP="00DC485B" w14:paraId="30BF5496" w14:textId="77777777">
      <w:pPr>
        <w:pStyle w:val="FootnoteText"/>
        <w:widowControl w:val="0"/>
      </w:pPr>
      <w:r>
        <w:rPr>
          <w:rStyle w:val="FootnoteReference"/>
        </w:rPr>
        <w:footnoteRef/>
      </w:r>
      <w:r>
        <w:t xml:space="preserve"> </w:t>
      </w:r>
      <w:r w:rsidRPr="00D046F6">
        <w:rPr>
          <w:i/>
        </w:rPr>
        <w:t>See</w:t>
      </w:r>
      <w:r w:rsidRPr="00D046F6">
        <w:t xml:space="preserve"> </w:t>
      </w:r>
      <w:r w:rsidRPr="00D046F6">
        <w:rPr>
          <w:i/>
        </w:rPr>
        <w:t>id</w:t>
      </w:r>
      <w:r w:rsidRPr="00D046F6">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810B6F" w14:paraId="7311EBC0" w14:textId="2E583316">
    <w:pPr>
      <w:pStyle w:val="Header"/>
      <w:rPr>
        <w:b w:val="0"/>
      </w:rPr>
    </w:pPr>
    <w:r>
      <w:tab/>
      <w:t>Federal Communications Commission</w:t>
    </w:r>
    <w:r>
      <w:tab/>
      <w:t xml:space="preserve">FCC </w:t>
    </w:r>
    <w:r w:rsidR="004E1024">
      <w:t>22-13</w:t>
    </w:r>
  </w:p>
  <w:p w:rsidR="00793DF2" w14:paraId="118E1E5D" w14:textId="404BA2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93DF2" w14:paraId="142F81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810B6F" w14:paraId="5BCBD5EC" w14:textId="29A425E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E1024">
      <w:rPr>
        <w:spacing w:val="-2"/>
      </w:rPr>
      <w:t>FCC 22-13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810B6F" w14:paraId="0D7E6E96" w14:textId="71E7BC5C">
    <w:pPr>
      <w:pStyle w:val="Header"/>
      <w:rPr>
        <w:b w:val="0"/>
      </w:rPr>
    </w:pPr>
    <w:r>
      <w:tab/>
    </w:r>
    <w:r>
      <w:t>Federal Communications Commission</w:t>
    </w:r>
    <w:r>
      <w:tab/>
    </w:r>
    <w:r w:rsidR="004E1024">
      <w:t>FCC 22-13</w:t>
    </w:r>
  </w:p>
  <w:p w:rsidR="00793DF2" w14:paraId="466519C7" w14:textId="1FFFEE91">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93DF2" w14:paraId="2F9AC45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DF2" w:rsidP="00810B6F" w14:paraId="52582485" w14:textId="1F2153B9">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 xml:space="preserve">FCC </w:t>
    </w:r>
    <w:r w:rsidR="004E1024">
      <w:rPr>
        <w:spacing w:val="-2"/>
      </w:rPr>
      <w:t>22-13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721E1"/>
    <w:multiLevelType w:val="hybridMultilevel"/>
    <w:tmpl w:val="AA284316"/>
    <w:lvl w:ilvl="0">
      <w:start w:val="1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EA5362"/>
    <w:multiLevelType w:val="hybridMultilevel"/>
    <w:tmpl w:val="F9862B5C"/>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1217A1"/>
    <w:multiLevelType w:val="hybridMultilevel"/>
    <w:tmpl w:val="1CFAE52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5187768"/>
    <w:multiLevelType w:val="hybridMultilevel"/>
    <w:tmpl w:val="417241D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7045CD"/>
    <w:multiLevelType w:val="hybridMultilevel"/>
    <w:tmpl w:val="31D2A5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68031C6"/>
    <w:multiLevelType w:val="hybridMultilevel"/>
    <w:tmpl w:val="B87013C2"/>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82B2C81"/>
    <w:multiLevelType w:val="hybridMultilevel"/>
    <w:tmpl w:val="7FBCB8D0"/>
    <w:lvl w:ilvl="0">
      <w:start w:val="1"/>
      <w:numFmt w:val="decimal"/>
      <w:lvlText w:val="%1."/>
      <w:lvlJc w:val="left"/>
      <w:pPr>
        <w:ind w:left="720" w:hanging="360"/>
      </w:pPr>
      <w:rPr>
        <w:rFonts w:hint="default"/>
        <w:color w:val="385623"/>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83765B"/>
    <w:multiLevelType w:val="hybridMultilevel"/>
    <w:tmpl w:val="EFC2A48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C4C33BE"/>
    <w:multiLevelType w:val="hybridMultilevel"/>
    <w:tmpl w:val="F74A940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3"/>
  </w:num>
  <w:num w:numId="3">
    <w:abstractNumId w:val="6"/>
  </w:num>
  <w:num w:numId="4">
    <w:abstractNumId w:val="8"/>
  </w:num>
  <w:num w:numId="5">
    <w:abstractNumId w:val="5"/>
  </w:num>
  <w:num w:numId="6">
    <w:abstractNumId w:val="2"/>
  </w:num>
  <w:num w:numId="7">
    <w:abstractNumId w:val="7"/>
  </w:num>
  <w:num w:numId="8">
    <w:abstractNumId w:val="12"/>
  </w:num>
  <w:num w:numId="9">
    <w:abstractNumId w:val="13"/>
    <w:lvlOverride w:ilvl="0">
      <w:startOverride w:val="1"/>
    </w:lvlOverride>
  </w:num>
  <w:num w:numId="10">
    <w:abstractNumId w:val="11"/>
  </w:num>
  <w:num w:numId="11">
    <w:abstractNumId w:val="10"/>
  </w:num>
  <w:num w:numId="12">
    <w:abstractNumId w:val="1"/>
  </w:num>
  <w:num w:numId="13">
    <w:abstractNumId w:val="0"/>
  </w:num>
  <w:num w:numId="14">
    <w:abstractNumId w:val="6"/>
  </w:num>
  <w:num w:numId="15">
    <w:abstractNumId w:val="6"/>
  </w:num>
  <w:num w:numId="16">
    <w:abstractNumId w:val="9"/>
  </w:num>
  <w:num w:numId="17">
    <w:abstractNumId w:val="13"/>
  </w:num>
  <w:num w:numId="18">
    <w:abstractNumId w:val="3"/>
  </w:num>
  <w:num w:numId="19">
    <w:abstractNumId w:val="13"/>
  </w:num>
  <w:num w:numId="20">
    <w:abstractNumId w:val="14"/>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B7"/>
    <w:rsid w:val="00003788"/>
    <w:rsid w:val="00007044"/>
    <w:rsid w:val="00025C6D"/>
    <w:rsid w:val="00026FB4"/>
    <w:rsid w:val="000279A7"/>
    <w:rsid w:val="00032984"/>
    <w:rsid w:val="00036039"/>
    <w:rsid w:val="00037AB0"/>
    <w:rsid w:val="00037E05"/>
    <w:rsid w:val="00037F90"/>
    <w:rsid w:val="00041711"/>
    <w:rsid w:val="00042548"/>
    <w:rsid w:val="00045339"/>
    <w:rsid w:val="00047B60"/>
    <w:rsid w:val="00050778"/>
    <w:rsid w:val="000515AB"/>
    <w:rsid w:val="00051F79"/>
    <w:rsid w:val="000548D2"/>
    <w:rsid w:val="000625C9"/>
    <w:rsid w:val="0007060A"/>
    <w:rsid w:val="0007083D"/>
    <w:rsid w:val="00070E24"/>
    <w:rsid w:val="00072705"/>
    <w:rsid w:val="000728A8"/>
    <w:rsid w:val="00076ADD"/>
    <w:rsid w:val="000775BB"/>
    <w:rsid w:val="0008116A"/>
    <w:rsid w:val="00081919"/>
    <w:rsid w:val="00084ADA"/>
    <w:rsid w:val="000858D9"/>
    <w:rsid w:val="00086CAD"/>
    <w:rsid w:val="000875BF"/>
    <w:rsid w:val="000876B4"/>
    <w:rsid w:val="00091718"/>
    <w:rsid w:val="00092847"/>
    <w:rsid w:val="0009446C"/>
    <w:rsid w:val="00096D8C"/>
    <w:rsid w:val="000A3BA3"/>
    <w:rsid w:val="000C0B65"/>
    <w:rsid w:val="000C1676"/>
    <w:rsid w:val="000C28EE"/>
    <w:rsid w:val="000C3048"/>
    <w:rsid w:val="000C45B7"/>
    <w:rsid w:val="000C496B"/>
    <w:rsid w:val="000C793C"/>
    <w:rsid w:val="000D0E75"/>
    <w:rsid w:val="000D133F"/>
    <w:rsid w:val="000D24B9"/>
    <w:rsid w:val="000D2862"/>
    <w:rsid w:val="000E05FE"/>
    <w:rsid w:val="000E0674"/>
    <w:rsid w:val="000E26E6"/>
    <w:rsid w:val="000E3D42"/>
    <w:rsid w:val="000E4FE9"/>
    <w:rsid w:val="000E6B2E"/>
    <w:rsid w:val="000E7F58"/>
    <w:rsid w:val="000F0B50"/>
    <w:rsid w:val="000F10B0"/>
    <w:rsid w:val="000F7AA8"/>
    <w:rsid w:val="001200EA"/>
    <w:rsid w:val="00120A08"/>
    <w:rsid w:val="00122BD5"/>
    <w:rsid w:val="001234CB"/>
    <w:rsid w:val="0012381C"/>
    <w:rsid w:val="00124A90"/>
    <w:rsid w:val="00124B25"/>
    <w:rsid w:val="001268D1"/>
    <w:rsid w:val="0012727D"/>
    <w:rsid w:val="00132973"/>
    <w:rsid w:val="001332E5"/>
    <w:rsid w:val="00133B48"/>
    <w:rsid w:val="00133F79"/>
    <w:rsid w:val="00135D00"/>
    <w:rsid w:val="00137B47"/>
    <w:rsid w:val="001428E2"/>
    <w:rsid w:val="00142BA2"/>
    <w:rsid w:val="0014357B"/>
    <w:rsid w:val="00143CC1"/>
    <w:rsid w:val="00144FB7"/>
    <w:rsid w:val="001463EC"/>
    <w:rsid w:val="0014737E"/>
    <w:rsid w:val="001645CE"/>
    <w:rsid w:val="0016783C"/>
    <w:rsid w:val="001767A7"/>
    <w:rsid w:val="00185282"/>
    <w:rsid w:val="001853F3"/>
    <w:rsid w:val="001863D8"/>
    <w:rsid w:val="0018750D"/>
    <w:rsid w:val="00192B33"/>
    <w:rsid w:val="00194114"/>
    <w:rsid w:val="00194A66"/>
    <w:rsid w:val="00197F3E"/>
    <w:rsid w:val="001A024F"/>
    <w:rsid w:val="001A0CA0"/>
    <w:rsid w:val="001A1849"/>
    <w:rsid w:val="001A2279"/>
    <w:rsid w:val="001A5F46"/>
    <w:rsid w:val="001B2C66"/>
    <w:rsid w:val="001B6D3B"/>
    <w:rsid w:val="001B7ED1"/>
    <w:rsid w:val="001C4C15"/>
    <w:rsid w:val="001D1279"/>
    <w:rsid w:val="001D1987"/>
    <w:rsid w:val="001D6BCF"/>
    <w:rsid w:val="001E01CA"/>
    <w:rsid w:val="001F175C"/>
    <w:rsid w:val="001F1C48"/>
    <w:rsid w:val="001F20D6"/>
    <w:rsid w:val="001F6822"/>
    <w:rsid w:val="00204899"/>
    <w:rsid w:val="00210C6A"/>
    <w:rsid w:val="00221CB8"/>
    <w:rsid w:val="00222558"/>
    <w:rsid w:val="00222AB6"/>
    <w:rsid w:val="0022444B"/>
    <w:rsid w:val="00226544"/>
    <w:rsid w:val="002353CC"/>
    <w:rsid w:val="0024227E"/>
    <w:rsid w:val="00244675"/>
    <w:rsid w:val="00245268"/>
    <w:rsid w:val="002455AF"/>
    <w:rsid w:val="0024585E"/>
    <w:rsid w:val="002514B5"/>
    <w:rsid w:val="0025216D"/>
    <w:rsid w:val="002524EC"/>
    <w:rsid w:val="00253246"/>
    <w:rsid w:val="00253E57"/>
    <w:rsid w:val="00256631"/>
    <w:rsid w:val="002608E2"/>
    <w:rsid w:val="00262D2C"/>
    <w:rsid w:val="00264B2F"/>
    <w:rsid w:val="002650C2"/>
    <w:rsid w:val="00265555"/>
    <w:rsid w:val="0026730A"/>
    <w:rsid w:val="00271482"/>
    <w:rsid w:val="002745AA"/>
    <w:rsid w:val="00274665"/>
    <w:rsid w:val="00275CF5"/>
    <w:rsid w:val="002763DF"/>
    <w:rsid w:val="002767E9"/>
    <w:rsid w:val="00280605"/>
    <w:rsid w:val="00281353"/>
    <w:rsid w:val="0028301F"/>
    <w:rsid w:val="00285017"/>
    <w:rsid w:val="0029022B"/>
    <w:rsid w:val="00294A08"/>
    <w:rsid w:val="0029575B"/>
    <w:rsid w:val="002961AB"/>
    <w:rsid w:val="00297415"/>
    <w:rsid w:val="002A291F"/>
    <w:rsid w:val="002A2D2E"/>
    <w:rsid w:val="002A4188"/>
    <w:rsid w:val="002B17EA"/>
    <w:rsid w:val="002B626F"/>
    <w:rsid w:val="002C00E8"/>
    <w:rsid w:val="002C2152"/>
    <w:rsid w:val="002C6F1E"/>
    <w:rsid w:val="002D30B9"/>
    <w:rsid w:val="002D643F"/>
    <w:rsid w:val="002E4808"/>
    <w:rsid w:val="002E60ED"/>
    <w:rsid w:val="002F49DD"/>
    <w:rsid w:val="002F5F2E"/>
    <w:rsid w:val="0030021E"/>
    <w:rsid w:val="0030410C"/>
    <w:rsid w:val="003041EB"/>
    <w:rsid w:val="00304CDF"/>
    <w:rsid w:val="00305BBF"/>
    <w:rsid w:val="003148BA"/>
    <w:rsid w:val="00314944"/>
    <w:rsid w:val="003153CC"/>
    <w:rsid w:val="003207A3"/>
    <w:rsid w:val="00320DAA"/>
    <w:rsid w:val="003245DF"/>
    <w:rsid w:val="0033569D"/>
    <w:rsid w:val="003365B9"/>
    <w:rsid w:val="00337904"/>
    <w:rsid w:val="00343749"/>
    <w:rsid w:val="003438A2"/>
    <w:rsid w:val="0034410E"/>
    <w:rsid w:val="00346F40"/>
    <w:rsid w:val="0034763F"/>
    <w:rsid w:val="00347B39"/>
    <w:rsid w:val="00350464"/>
    <w:rsid w:val="003562E7"/>
    <w:rsid w:val="00360347"/>
    <w:rsid w:val="00360441"/>
    <w:rsid w:val="00360879"/>
    <w:rsid w:val="003660ED"/>
    <w:rsid w:val="00370021"/>
    <w:rsid w:val="00376243"/>
    <w:rsid w:val="00391522"/>
    <w:rsid w:val="00393F01"/>
    <w:rsid w:val="003955BD"/>
    <w:rsid w:val="003A11D4"/>
    <w:rsid w:val="003A3EEA"/>
    <w:rsid w:val="003A4D36"/>
    <w:rsid w:val="003A5147"/>
    <w:rsid w:val="003B0550"/>
    <w:rsid w:val="003B42FB"/>
    <w:rsid w:val="003B694F"/>
    <w:rsid w:val="003C6139"/>
    <w:rsid w:val="003D2F84"/>
    <w:rsid w:val="003D3F4C"/>
    <w:rsid w:val="003D466A"/>
    <w:rsid w:val="003D5168"/>
    <w:rsid w:val="003E333E"/>
    <w:rsid w:val="003E33DD"/>
    <w:rsid w:val="003E3B5A"/>
    <w:rsid w:val="003E4E49"/>
    <w:rsid w:val="003F06ED"/>
    <w:rsid w:val="003F171C"/>
    <w:rsid w:val="003F2961"/>
    <w:rsid w:val="003F2A68"/>
    <w:rsid w:val="003F3F71"/>
    <w:rsid w:val="00401B9E"/>
    <w:rsid w:val="00401F5D"/>
    <w:rsid w:val="00403E54"/>
    <w:rsid w:val="00411FFB"/>
    <w:rsid w:val="00412338"/>
    <w:rsid w:val="00412FC5"/>
    <w:rsid w:val="00414B01"/>
    <w:rsid w:val="00415030"/>
    <w:rsid w:val="00415B33"/>
    <w:rsid w:val="00417B6A"/>
    <w:rsid w:val="00417F14"/>
    <w:rsid w:val="00420BFE"/>
    <w:rsid w:val="00422276"/>
    <w:rsid w:val="004242F1"/>
    <w:rsid w:val="004246E7"/>
    <w:rsid w:val="0042716D"/>
    <w:rsid w:val="00430E13"/>
    <w:rsid w:val="004329CD"/>
    <w:rsid w:val="00440601"/>
    <w:rsid w:val="004414F9"/>
    <w:rsid w:val="00444845"/>
    <w:rsid w:val="00445A00"/>
    <w:rsid w:val="00445ECC"/>
    <w:rsid w:val="00446821"/>
    <w:rsid w:val="00451B0F"/>
    <w:rsid w:val="00454CED"/>
    <w:rsid w:val="00454E03"/>
    <w:rsid w:val="00454F76"/>
    <w:rsid w:val="0047170B"/>
    <w:rsid w:val="00471D71"/>
    <w:rsid w:val="00475473"/>
    <w:rsid w:val="00480116"/>
    <w:rsid w:val="00481320"/>
    <w:rsid w:val="0048207A"/>
    <w:rsid w:val="0048551A"/>
    <w:rsid w:val="00487BB2"/>
    <w:rsid w:val="00492244"/>
    <w:rsid w:val="00492DB4"/>
    <w:rsid w:val="00493394"/>
    <w:rsid w:val="0049586B"/>
    <w:rsid w:val="004A2399"/>
    <w:rsid w:val="004A2C5D"/>
    <w:rsid w:val="004A4334"/>
    <w:rsid w:val="004C2EE3"/>
    <w:rsid w:val="004C7298"/>
    <w:rsid w:val="004C7A18"/>
    <w:rsid w:val="004D07E7"/>
    <w:rsid w:val="004D10BC"/>
    <w:rsid w:val="004D1B4B"/>
    <w:rsid w:val="004D3082"/>
    <w:rsid w:val="004D6BD6"/>
    <w:rsid w:val="004D7D2F"/>
    <w:rsid w:val="004E1024"/>
    <w:rsid w:val="004E233A"/>
    <w:rsid w:val="004E3D8D"/>
    <w:rsid w:val="004E4A22"/>
    <w:rsid w:val="004F0F50"/>
    <w:rsid w:val="004F4442"/>
    <w:rsid w:val="004F591E"/>
    <w:rsid w:val="00500C46"/>
    <w:rsid w:val="00502263"/>
    <w:rsid w:val="00503923"/>
    <w:rsid w:val="00504FE0"/>
    <w:rsid w:val="00510C75"/>
    <w:rsid w:val="00511968"/>
    <w:rsid w:val="005148EB"/>
    <w:rsid w:val="00522C0F"/>
    <w:rsid w:val="00522D5C"/>
    <w:rsid w:val="0052325D"/>
    <w:rsid w:val="00524D71"/>
    <w:rsid w:val="00525A94"/>
    <w:rsid w:val="00531D23"/>
    <w:rsid w:val="00534ABB"/>
    <w:rsid w:val="00537B39"/>
    <w:rsid w:val="00540AAF"/>
    <w:rsid w:val="00541293"/>
    <w:rsid w:val="00543B06"/>
    <w:rsid w:val="00543D45"/>
    <w:rsid w:val="00545524"/>
    <w:rsid w:val="0055023A"/>
    <w:rsid w:val="00554B3F"/>
    <w:rsid w:val="0055614C"/>
    <w:rsid w:val="005565B4"/>
    <w:rsid w:val="00556877"/>
    <w:rsid w:val="005572FE"/>
    <w:rsid w:val="005577AD"/>
    <w:rsid w:val="00557F12"/>
    <w:rsid w:val="005601DA"/>
    <w:rsid w:val="0056113B"/>
    <w:rsid w:val="00561AD0"/>
    <w:rsid w:val="00565AFA"/>
    <w:rsid w:val="00565E77"/>
    <w:rsid w:val="00566D06"/>
    <w:rsid w:val="005672EA"/>
    <w:rsid w:val="00567D17"/>
    <w:rsid w:val="00570170"/>
    <w:rsid w:val="005715FE"/>
    <w:rsid w:val="00576446"/>
    <w:rsid w:val="00577814"/>
    <w:rsid w:val="00586881"/>
    <w:rsid w:val="00591DC7"/>
    <w:rsid w:val="00594979"/>
    <w:rsid w:val="005B07BC"/>
    <w:rsid w:val="005B1560"/>
    <w:rsid w:val="005B4A73"/>
    <w:rsid w:val="005B5D94"/>
    <w:rsid w:val="005B7AB3"/>
    <w:rsid w:val="005C0749"/>
    <w:rsid w:val="005C3005"/>
    <w:rsid w:val="005C3768"/>
    <w:rsid w:val="005C3DC0"/>
    <w:rsid w:val="005C51F8"/>
    <w:rsid w:val="005C60E9"/>
    <w:rsid w:val="005C7F8A"/>
    <w:rsid w:val="005D073F"/>
    <w:rsid w:val="005D39D7"/>
    <w:rsid w:val="005D4EE8"/>
    <w:rsid w:val="005D7CC3"/>
    <w:rsid w:val="005E14C2"/>
    <w:rsid w:val="005E1DBE"/>
    <w:rsid w:val="005E29BA"/>
    <w:rsid w:val="005E46F6"/>
    <w:rsid w:val="005E5747"/>
    <w:rsid w:val="005E5DD1"/>
    <w:rsid w:val="005E7868"/>
    <w:rsid w:val="005F0353"/>
    <w:rsid w:val="005F7D2D"/>
    <w:rsid w:val="006019BA"/>
    <w:rsid w:val="006023C2"/>
    <w:rsid w:val="00603A59"/>
    <w:rsid w:val="00607BA5"/>
    <w:rsid w:val="006104F8"/>
    <w:rsid w:val="00611544"/>
    <w:rsid w:val="0061180A"/>
    <w:rsid w:val="00613FF7"/>
    <w:rsid w:val="0062098A"/>
    <w:rsid w:val="00623C60"/>
    <w:rsid w:val="00624685"/>
    <w:rsid w:val="006268D8"/>
    <w:rsid w:val="00626EB6"/>
    <w:rsid w:val="00627604"/>
    <w:rsid w:val="006305CC"/>
    <w:rsid w:val="00630795"/>
    <w:rsid w:val="006349D1"/>
    <w:rsid w:val="00635E52"/>
    <w:rsid w:val="00637092"/>
    <w:rsid w:val="00637AC6"/>
    <w:rsid w:val="006454B1"/>
    <w:rsid w:val="006465D5"/>
    <w:rsid w:val="00652AC0"/>
    <w:rsid w:val="00654F03"/>
    <w:rsid w:val="00655963"/>
    <w:rsid w:val="00655D03"/>
    <w:rsid w:val="0066197A"/>
    <w:rsid w:val="00663700"/>
    <w:rsid w:val="00663F2C"/>
    <w:rsid w:val="00666859"/>
    <w:rsid w:val="00667F81"/>
    <w:rsid w:val="006700FE"/>
    <w:rsid w:val="0067044A"/>
    <w:rsid w:val="00670A26"/>
    <w:rsid w:val="00675CD1"/>
    <w:rsid w:val="00676769"/>
    <w:rsid w:val="0067764F"/>
    <w:rsid w:val="00680769"/>
    <w:rsid w:val="00680E8F"/>
    <w:rsid w:val="00683388"/>
    <w:rsid w:val="00683F84"/>
    <w:rsid w:val="006850D8"/>
    <w:rsid w:val="00687A7F"/>
    <w:rsid w:val="00692264"/>
    <w:rsid w:val="00695343"/>
    <w:rsid w:val="00696668"/>
    <w:rsid w:val="006A0A86"/>
    <w:rsid w:val="006A6A81"/>
    <w:rsid w:val="006B3613"/>
    <w:rsid w:val="006B38DB"/>
    <w:rsid w:val="006B4300"/>
    <w:rsid w:val="006B77CB"/>
    <w:rsid w:val="006C398B"/>
    <w:rsid w:val="006D1BB6"/>
    <w:rsid w:val="006D3AB0"/>
    <w:rsid w:val="006E28F8"/>
    <w:rsid w:val="006E767F"/>
    <w:rsid w:val="006F2757"/>
    <w:rsid w:val="006F409C"/>
    <w:rsid w:val="006F414D"/>
    <w:rsid w:val="006F7393"/>
    <w:rsid w:val="0070224F"/>
    <w:rsid w:val="00702574"/>
    <w:rsid w:val="00703D12"/>
    <w:rsid w:val="00705CFA"/>
    <w:rsid w:val="007070A6"/>
    <w:rsid w:val="007115F7"/>
    <w:rsid w:val="00712E3D"/>
    <w:rsid w:val="00713482"/>
    <w:rsid w:val="00714887"/>
    <w:rsid w:val="007169CD"/>
    <w:rsid w:val="0071790F"/>
    <w:rsid w:val="00717D71"/>
    <w:rsid w:val="00724B69"/>
    <w:rsid w:val="007266B7"/>
    <w:rsid w:val="00731C1C"/>
    <w:rsid w:val="0073200C"/>
    <w:rsid w:val="007332E0"/>
    <w:rsid w:val="00735B16"/>
    <w:rsid w:val="00737451"/>
    <w:rsid w:val="007417B0"/>
    <w:rsid w:val="007421F2"/>
    <w:rsid w:val="00742A9F"/>
    <w:rsid w:val="007550A7"/>
    <w:rsid w:val="00755EE7"/>
    <w:rsid w:val="0075606B"/>
    <w:rsid w:val="00756184"/>
    <w:rsid w:val="0075692E"/>
    <w:rsid w:val="00760A94"/>
    <w:rsid w:val="00760DBE"/>
    <w:rsid w:val="00765FF9"/>
    <w:rsid w:val="0076616D"/>
    <w:rsid w:val="0076709C"/>
    <w:rsid w:val="00770CE9"/>
    <w:rsid w:val="00771B58"/>
    <w:rsid w:val="00772FD2"/>
    <w:rsid w:val="00780FD1"/>
    <w:rsid w:val="007827CC"/>
    <w:rsid w:val="00783139"/>
    <w:rsid w:val="007835A3"/>
    <w:rsid w:val="00785689"/>
    <w:rsid w:val="007915AF"/>
    <w:rsid w:val="00791624"/>
    <w:rsid w:val="00793DF2"/>
    <w:rsid w:val="0079754B"/>
    <w:rsid w:val="007975B9"/>
    <w:rsid w:val="007A1E6D"/>
    <w:rsid w:val="007A61C4"/>
    <w:rsid w:val="007B0EB2"/>
    <w:rsid w:val="007B5129"/>
    <w:rsid w:val="007B5389"/>
    <w:rsid w:val="007B76FF"/>
    <w:rsid w:val="007B7CC3"/>
    <w:rsid w:val="007C5F38"/>
    <w:rsid w:val="007D1824"/>
    <w:rsid w:val="007D2F96"/>
    <w:rsid w:val="007D637C"/>
    <w:rsid w:val="007D7B10"/>
    <w:rsid w:val="007E0B2A"/>
    <w:rsid w:val="007E5C51"/>
    <w:rsid w:val="007E63B6"/>
    <w:rsid w:val="007F270C"/>
    <w:rsid w:val="007F4956"/>
    <w:rsid w:val="007F5D6A"/>
    <w:rsid w:val="007F668E"/>
    <w:rsid w:val="007F74CC"/>
    <w:rsid w:val="00800CB2"/>
    <w:rsid w:val="00800F58"/>
    <w:rsid w:val="00803C5C"/>
    <w:rsid w:val="00803C6A"/>
    <w:rsid w:val="00806BD4"/>
    <w:rsid w:val="008070A7"/>
    <w:rsid w:val="00810B6F"/>
    <w:rsid w:val="00812C17"/>
    <w:rsid w:val="00813773"/>
    <w:rsid w:val="008141DA"/>
    <w:rsid w:val="00814938"/>
    <w:rsid w:val="008155A5"/>
    <w:rsid w:val="00822CE0"/>
    <w:rsid w:val="008267AD"/>
    <w:rsid w:val="00831E2F"/>
    <w:rsid w:val="0083408E"/>
    <w:rsid w:val="008362BE"/>
    <w:rsid w:val="0083637A"/>
    <w:rsid w:val="00836DDE"/>
    <w:rsid w:val="00837195"/>
    <w:rsid w:val="0083746E"/>
    <w:rsid w:val="0084073A"/>
    <w:rsid w:val="00841AB1"/>
    <w:rsid w:val="00845FBA"/>
    <w:rsid w:val="00846649"/>
    <w:rsid w:val="0086420B"/>
    <w:rsid w:val="00864701"/>
    <w:rsid w:val="00864AD1"/>
    <w:rsid w:val="00865E3C"/>
    <w:rsid w:val="008667B7"/>
    <w:rsid w:val="008674DF"/>
    <w:rsid w:val="00870ACA"/>
    <w:rsid w:val="008728CB"/>
    <w:rsid w:val="00875603"/>
    <w:rsid w:val="00875F20"/>
    <w:rsid w:val="00882776"/>
    <w:rsid w:val="008837C4"/>
    <w:rsid w:val="0088490F"/>
    <w:rsid w:val="00891311"/>
    <w:rsid w:val="00892FDF"/>
    <w:rsid w:val="008A0F8B"/>
    <w:rsid w:val="008A33D7"/>
    <w:rsid w:val="008A3AB9"/>
    <w:rsid w:val="008A4CBB"/>
    <w:rsid w:val="008A512E"/>
    <w:rsid w:val="008B1EE9"/>
    <w:rsid w:val="008B7717"/>
    <w:rsid w:val="008B777A"/>
    <w:rsid w:val="008C1998"/>
    <w:rsid w:val="008C68F1"/>
    <w:rsid w:val="008D1EB0"/>
    <w:rsid w:val="008D3144"/>
    <w:rsid w:val="008D3C68"/>
    <w:rsid w:val="008E1B2B"/>
    <w:rsid w:val="008E41E5"/>
    <w:rsid w:val="008E58C8"/>
    <w:rsid w:val="008F02AF"/>
    <w:rsid w:val="008F16B7"/>
    <w:rsid w:val="008F199B"/>
    <w:rsid w:val="008F1E0E"/>
    <w:rsid w:val="008F5F56"/>
    <w:rsid w:val="00901430"/>
    <w:rsid w:val="00902C17"/>
    <w:rsid w:val="00906FDC"/>
    <w:rsid w:val="009130F6"/>
    <w:rsid w:val="0091323C"/>
    <w:rsid w:val="00913603"/>
    <w:rsid w:val="0091705F"/>
    <w:rsid w:val="00921803"/>
    <w:rsid w:val="00921B77"/>
    <w:rsid w:val="00926503"/>
    <w:rsid w:val="0093451E"/>
    <w:rsid w:val="009433BC"/>
    <w:rsid w:val="00943812"/>
    <w:rsid w:val="00947920"/>
    <w:rsid w:val="00952D89"/>
    <w:rsid w:val="0095418A"/>
    <w:rsid w:val="009549C8"/>
    <w:rsid w:val="009570E0"/>
    <w:rsid w:val="00961E42"/>
    <w:rsid w:val="0096202A"/>
    <w:rsid w:val="009652D6"/>
    <w:rsid w:val="00965666"/>
    <w:rsid w:val="009726D8"/>
    <w:rsid w:val="00973E7B"/>
    <w:rsid w:val="0097550D"/>
    <w:rsid w:val="00975ECA"/>
    <w:rsid w:val="009909C9"/>
    <w:rsid w:val="009936BF"/>
    <w:rsid w:val="00993E6C"/>
    <w:rsid w:val="009A0788"/>
    <w:rsid w:val="009B20BD"/>
    <w:rsid w:val="009B2141"/>
    <w:rsid w:val="009B2405"/>
    <w:rsid w:val="009B63D5"/>
    <w:rsid w:val="009B70E7"/>
    <w:rsid w:val="009B7DB4"/>
    <w:rsid w:val="009C0FCB"/>
    <w:rsid w:val="009C1AED"/>
    <w:rsid w:val="009C2B3E"/>
    <w:rsid w:val="009C711A"/>
    <w:rsid w:val="009D0056"/>
    <w:rsid w:val="009D0C78"/>
    <w:rsid w:val="009D2ADA"/>
    <w:rsid w:val="009D4B03"/>
    <w:rsid w:val="009D5D07"/>
    <w:rsid w:val="009D7308"/>
    <w:rsid w:val="009E3FEC"/>
    <w:rsid w:val="009E4EAC"/>
    <w:rsid w:val="009E5356"/>
    <w:rsid w:val="009E644E"/>
    <w:rsid w:val="009F76DB"/>
    <w:rsid w:val="009F78A4"/>
    <w:rsid w:val="009F7FC3"/>
    <w:rsid w:val="00A0171D"/>
    <w:rsid w:val="00A10A97"/>
    <w:rsid w:val="00A112A1"/>
    <w:rsid w:val="00A27265"/>
    <w:rsid w:val="00A32C3B"/>
    <w:rsid w:val="00A36B6C"/>
    <w:rsid w:val="00A37412"/>
    <w:rsid w:val="00A37CEB"/>
    <w:rsid w:val="00A45F4F"/>
    <w:rsid w:val="00A46EAE"/>
    <w:rsid w:val="00A473C8"/>
    <w:rsid w:val="00A507A0"/>
    <w:rsid w:val="00A5218C"/>
    <w:rsid w:val="00A542F0"/>
    <w:rsid w:val="00A5694A"/>
    <w:rsid w:val="00A600A9"/>
    <w:rsid w:val="00A6242C"/>
    <w:rsid w:val="00A63100"/>
    <w:rsid w:val="00A6461C"/>
    <w:rsid w:val="00A73354"/>
    <w:rsid w:val="00A75C54"/>
    <w:rsid w:val="00A8193C"/>
    <w:rsid w:val="00A823B2"/>
    <w:rsid w:val="00A84146"/>
    <w:rsid w:val="00A85AAC"/>
    <w:rsid w:val="00A87BB7"/>
    <w:rsid w:val="00A90301"/>
    <w:rsid w:val="00A9565A"/>
    <w:rsid w:val="00AA122D"/>
    <w:rsid w:val="00AA1260"/>
    <w:rsid w:val="00AA2728"/>
    <w:rsid w:val="00AA3871"/>
    <w:rsid w:val="00AA55B7"/>
    <w:rsid w:val="00AA5B9E"/>
    <w:rsid w:val="00AB06F0"/>
    <w:rsid w:val="00AB2407"/>
    <w:rsid w:val="00AB51D1"/>
    <w:rsid w:val="00AB53DF"/>
    <w:rsid w:val="00AB699D"/>
    <w:rsid w:val="00AB6FF2"/>
    <w:rsid w:val="00AC28CD"/>
    <w:rsid w:val="00AC4698"/>
    <w:rsid w:val="00AD41D8"/>
    <w:rsid w:val="00AD4F86"/>
    <w:rsid w:val="00AD66AE"/>
    <w:rsid w:val="00AD6748"/>
    <w:rsid w:val="00AE1AEB"/>
    <w:rsid w:val="00AE34AA"/>
    <w:rsid w:val="00AE3EFF"/>
    <w:rsid w:val="00AF04DA"/>
    <w:rsid w:val="00AF4936"/>
    <w:rsid w:val="00AF5B35"/>
    <w:rsid w:val="00B0149B"/>
    <w:rsid w:val="00B01565"/>
    <w:rsid w:val="00B01DFC"/>
    <w:rsid w:val="00B03919"/>
    <w:rsid w:val="00B067C3"/>
    <w:rsid w:val="00B07E5C"/>
    <w:rsid w:val="00B1003F"/>
    <w:rsid w:val="00B13838"/>
    <w:rsid w:val="00B15A12"/>
    <w:rsid w:val="00B1729F"/>
    <w:rsid w:val="00B17C51"/>
    <w:rsid w:val="00B17F7B"/>
    <w:rsid w:val="00B22EE9"/>
    <w:rsid w:val="00B24A09"/>
    <w:rsid w:val="00B256FD"/>
    <w:rsid w:val="00B277BD"/>
    <w:rsid w:val="00B364F3"/>
    <w:rsid w:val="00B407C1"/>
    <w:rsid w:val="00B41D52"/>
    <w:rsid w:val="00B4436A"/>
    <w:rsid w:val="00B44C79"/>
    <w:rsid w:val="00B525D4"/>
    <w:rsid w:val="00B535E9"/>
    <w:rsid w:val="00B60C14"/>
    <w:rsid w:val="00B61962"/>
    <w:rsid w:val="00B61999"/>
    <w:rsid w:val="00B62D98"/>
    <w:rsid w:val="00B662FC"/>
    <w:rsid w:val="00B72551"/>
    <w:rsid w:val="00B733B6"/>
    <w:rsid w:val="00B7783F"/>
    <w:rsid w:val="00B80052"/>
    <w:rsid w:val="00B811F7"/>
    <w:rsid w:val="00B84233"/>
    <w:rsid w:val="00B8767E"/>
    <w:rsid w:val="00B92312"/>
    <w:rsid w:val="00B948EB"/>
    <w:rsid w:val="00B9678C"/>
    <w:rsid w:val="00BA51EE"/>
    <w:rsid w:val="00BA5DC6"/>
    <w:rsid w:val="00BA6196"/>
    <w:rsid w:val="00BB0704"/>
    <w:rsid w:val="00BB085E"/>
    <w:rsid w:val="00BB2C64"/>
    <w:rsid w:val="00BB717C"/>
    <w:rsid w:val="00BC38DA"/>
    <w:rsid w:val="00BC6D8C"/>
    <w:rsid w:val="00BC7AA2"/>
    <w:rsid w:val="00BD0B7D"/>
    <w:rsid w:val="00BD2FB9"/>
    <w:rsid w:val="00BD3793"/>
    <w:rsid w:val="00BF0819"/>
    <w:rsid w:val="00BF0879"/>
    <w:rsid w:val="00BF0BBB"/>
    <w:rsid w:val="00BF4E54"/>
    <w:rsid w:val="00C025D9"/>
    <w:rsid w:val="00C02F13"/>
    <w:rsid w:val="00C03792"/>
    <w:rsid w:val="00C05F71"/>
    <w:rsid w:val="00C06623"/>
    <w:rsid w:val="00C17FD3"/>
    <w:rsid w:val="00C2435B"/>
    <w:rsid w:val="00C247B7"/>
    <w:rsid w:val="00C25771"/>
    <w:rsid w:val="00C32790"/>
    <w:rsid w:val="00C33389"/>
    <w:rsid w:val="00C34006"/>
    <w:rsid w:val="00C3503F"/>
    <w:rsid w:val="00C3542B"/>
    <w:rsid w:val="00C36B4C"/>
    <w:rsid w:val="00C37645"/>
    <w:rsid w:val="00C40E95"/>
    <w:rsid w:val="00C426B1"/>
    <w:rsid w:val="00C45854"/>
    <w:rsid w:val="00C45958"/>
    <w:rsid w:val="00C52710"/>
    <w:rsid w:val="00C66160"/>
    <w:rsid w:val="00C71498"/>
    <w:rsid w:val="00C71828"/>
    <w:rsid w:val="00C721AC"/>
    <w:rsid w:val="00C73A1F"/>
    <w:rsid w:val="00C76049"/>
    <w:rsid w:val="00C76B33"/>
    <w:rsid w:val="00C832CF"/>
    <w:rsid w:val="00C83B34"/>
    <w:rsid w:val="00C83C12"/>
    <w:rsid w:val="00C86DFF"/>
    <w:rsid w:val="00C875E9"/>
    <w:rsid w:val="00C90D6A"/>
    <w:rsid w:val="00C9273A"/>
    <w:rsid w:val="00C939B5"/>
    <w:rsid w:val="00C97BD1"/>
    <w:rsid w:val="00CA0FCB"/>
    <w:rsid w:val="00CA247E"/>
    <w:rsid w:val="00CA34E7"/>
    <w:rsid w:val="00CA36AA"/>
    <w:rsid w:val="00CA37EF"/>
    <w:rsid w:val="00CA4263"/>
    <w:rsid w:val="00CA50F6"/>
    <w:rsid w:val="00CA61E4"/>
    <w:rsid w:val="00CA6D21"/>
    <w:rsid w:val="00CB155D"/>
    <w:rsid w:val="00CB1E51"/>
    <w:rsid w:val="00CB7157"/>
    <w:rsid w:val="00CC0F1A"/>
    <w:rsid w:val="00CC498D"/>
    <w:rsid w:val="00CC55FC"/>
    <w:rsid w:val="00CC72B6"/>
    <w:rsid w:val="00CD04F2"/>
    <w:rsid w:val="00CD597B"/>
    <w:rsid w:val="00CD5FF7"/>
    <w:rsid w:val="00CD7236"/>
    <w:rsid w:val="00CD78A4"/>
    <w:rsid w:val="00CE630E"/>
    <w:rsid w:val="00CE682C"/>
    <w:rsid w:val="00CF59D2"/>
    <w:rsid w:val="00CF6963"/>
    <w:rsid w:val="00CF6E19"/>
    <w:rsid w:val="00CF72DC"/>
    <w:rsid w:val="00CF7CA7"/>
    <w:rsid w:val="00CF7EDB"/>
    <w:rsid w:val="00D00A0B"/>
    <w:rsid w:val="00D0218D"/>
    <w:rsid w:val="00D028FA"/>
    <w:rsid w:val="00D046F6"/>
    <w:rsid w:val="00D07CCC"/>
    <w:rsid w:val="00D13987"/>
    <w:rsid w:val="00D13E00"/>
    <w:rsid w:val="00D166EF"/>
    <w:rsid w:val="00D2097B"/>
    <w:rsid w:val="00D220A7"/>
    <w:rsid w:val="00D220B3"/>
    <w:rsid w:val="00D23BF2"/>
    <w:rsid w:val="00D24E6A"/>
    <w:rsid w:val="00D25897"/>
    <w:rsid w:val="00D25FB5"/>
    <w:rsid w:val="00D44223"/>
    <w:rsid w:val="00D448AD"/>
    <w:rsid w:val="00D46547"/>
    <w:rsid w:val="00D472AE"/>
    <w:rsid w:val="00D5002D"/>
    <w:rsid w:val="00D50B7B"/>
    <w:rsid w:val="00D514A0"/>
    <w:rsid w:val="00D529A4"/>
    <w:rsid w:val="00D5358C"/>
    <w:rsid w:val="00D54B9A"/>
    <w:rsid w:val="00D6028A"/>
    <w:rsid w:val="00D606E4"/>
    <w:rsid w:val="00D6398D"/>
    <w:rsid w:val="00D64871"/>
    <w:rsid w:val="00D77C08"/>
    <w:rsid w:val="00D810BC"/>
    <w:rsid w:val="00D81117"/>
    <w:rsid w:val="00D8637D"/>
    <w:rsid w:val="00D87615"/>
    <w:rsid w:val="00D91675"/>
    <w:rsid w:val="00D93429"/>
    <w:rsid w:val="00D94483"/>
    <w:rsid w:val="00DA19A7"/>
    <w:rsid w:val="00DA2529"/>
    <w:rsid w:val="00DA46BE"/>
    <w:rsid w:val="00DA7260"/>
    <w:rsid w:val="00DB130A"/>
    <w:rsid w:val="00DB2EBB"/>
    <w:rsid w:val="00DB47C7"/>
    <w:rsid w:val="00DC10A1"/>
    <w:rsid w:val="00DC1957"/>
    <w:rsid w:val="00DC2D14"/>
    <w:rsid w:val="00DC3C52"/>
    <w:rsid w:val="00DC3FC4"/>
    <w:rsid w:val="00DC485B"/>
    <w:rsid w:val="00DC655F"/>
    <w:rsid w:val="00DC6F42"/>
    <w:rsid w:val="00DC7012"/>
    <w:rsid w:val="00DD0B59"/>
    <w:rsid w:val="00DD7B03"/>
    <w:rsid w:val="00DD7EBD"/>
    <w:rsid w:val="00DE02C3"/>
    <w:rsid w:val="00DF5332"/>
    <w:rsid w:val="00DF5EFF"/>
    <w:rsid w:val="00DF6146"/>
    <w:rsid w:val="00DF62B6"/>
    <w:rsid w:val="00DF695E"/>
    <w:rsid w:val="00E0033F"/>
    <w:rsid w:val="00E008C9"/>
    <w:rsid w:val="00E0545C"/>
    <w:rsid w:val="00E05A85"/>
    <w:rsid w:val="00E0693D"/>
    <w:rsid w:val="00E07225"/>
    <w:rsid w:val="00E31EDA"/>
    <w:rsid w:val="00E3627C"/>
    <w:rsid w:val="00E36BA0"/>
    <w:rsid w:val="00E400D1"/>
    <w:rsid w:val="00E406C8"/>
    <w:rsid w:val="00E41741"/>
    <w:rsid w:val="00E42E7B"/>
    <w:rsid w:val="00E469B4"/>
    <w:rsid w:val="00E4721C"/>
    <w:rsid w:val="00E473B1"/>
    <w:rsid w:val="00E47EF5"/>
    <w:rsid w:val="00E50163"/>
    <w:rsid w:val="00E510EF"/>
    <w:rsid w:val="00E512EB"/>
    <w:rsid w:val="00E536B4"/>
    <w:rsid w:val="00E5408C"/>
    <w:rsid w:val="00E5409F"/>
    <w:rsid w:val="00E5544D"/>
    <w:rsid w:val="00E56C79"/>
    <w:rsid w:val="00E57B65"/>
    <w:rsid w:val="00E57B9B"/>
    <w:rsid w:val="00E63CDF"/>
    <w:rsid w:val="00E66A99"/>
    <w:rsid w:val="00E7104D"/>
    <w:rsid w:val="00E73CCE"/>
    <w:rsid w:val="00E73E26"/>
    <w:rsid w:val="00E7626F"/>
    <w:rsid w:val="00E7652D"/>
    <w:rsid w:val="00E779F7"/>
    <w:rsid w:val="00E81641"/>
    <w:rsid w:val="00E90723"/>
    <w:rsid w:val="00E90E0C"/>
    <w:rsid w:val="00E939C6"/>
    <w:rsid w:val="00E94565"/>
    <w:rsid w:val="00E94D6B"/>
    <w:rsid w:val="00EA04A9"/>
    <w:rsid w:val="00EA1C19"/>
    <w:rsid w:val="00EA2018"/>
    <w:rsid w:val="00EA44ED"/>
    <w:rsid w:val="00EB1E95"/>
    <w:rsid w:val="00EB5C51"/>
    <w:rsid w:val="00EC00EC"/>
    <w:rsid w:val="00EC0DBC"/>
    <w:rsid w:val="00EC0DF8"/>
    <w:rsid w:val="00EC0E8A"/>
    <w:rsid w:val="00EC34C9"/>
    <w:rsid w:val="00EC3AC9"/>
    <w:rsid w:val="00EC78B4"/>
    <w:rsid w:val="00EC7BAA"/>
    <w:rsid w:val="00EC7F80"/>
    <w:rsid w:val="00ED3237"/>
    <w:rsid w:val="00ED3C33"/>
    <w:rsid w:val="00ED4DA0"/>
    <w:rsid w:val="00ED718C"/>
    <w:rsid w:val="00EE3E26"/>
    <w:rsid w:val="00EE6488"/>
    <w:rsid w:val="00EF0AC2"/>
    <w:rsid w:val="00EF1CB5"/>
    <w:rsid w:val="00EF20AD"/>
    <w:rsid w:val="00EF3E0B"/>
    <w:rsid w:val="00F000DE"/>
    <w:rsid w:val="00F012A0"/>
    <w:rsid w:val="00F021FA"/>
    <w:rsid w:val="00F0272E"/>
    <w:rsid w:val="00F037E2"/>
    <w:rsid w:val="00F12892"/>
    <w:rsid w:val="00F12924"/>
    <w:rsid w:val="00F15CE2"/>
    <w:rsid w:val="00F1642C"/>
    <w:rsid w:val="00F204BF"/>
    <w:rsid w:val="00F22FF8"/>
    <w:rsid w:val="00F24CEE"/>
    <w:rsid w:val="00F24DA2"/>
    <w:rsid w:val="00F267DF"/>
    <w:rsid w:val="00F309B5"/>
    <w:rsid w:val="00F31844"/>
    <w:rsid w:val="00F34375"/>
    <w:rsid w:val="00F35963"/>
    <w:rsid w:val="00F370F2"/>
    <w:rsid w:val="00F3749E"/>
    <w:rsid w:val="00F406FF"/>
    <w:rsid w:val="00F41CD1"/>
    <w:rsid w:val="00F424AE"/>
    <w:rsid w:val="00F439F2"/>
    <w:rsid w:val="00F43D15"/>
    <w:rsid w:val="00F4605E"/>
    <w:rsid w:val="00F47ACD"/>
    <w:rsid w:val="00F53AC6"/>
    <w:rsid w:val="00F62E97"/>
    <w:rsid w:val="00F64209"/>
    <w:rsid w:val="00F64C69"/>
    <w:rsid w:val="00F6628E"/>
    <w:rsid w:val="00F67D18"/>
    <w:rsid w:val="00F67D58"/>
    <w:rsid w:val="00F706BD"/>
    <w:rsid w:val="00F7295C"/>
    <w:rsid w:val="00F72988"/>
    <w:rsid w:val="00F751D4"/>
    <w:rsid w:val="00F7736C"/>
    <w:rsid w:val="00F7783F"/>
    <w:rsid w:val="00F812EE"/>
    <w:rsid w:val="00F83343"/>
    <w:rsid w:val="00F836DA"/>
    <w:rsid w:val="00F8568A"/>
    <w:rsid w:val="00F858AC"/>
    <w:rsid w:val="00F87994"/>
    <w:rsid w:val="00F90F9A"/>
    <w:rsid w:val="00F91C98"/>
    <w:rsid w:val="00F91CBB"/>
    <w:rsid w:val="00F92C2F"/>
    <w:rsid w:val="00F933D5"/>
    <w:rsid w:val="00F93BF5"/>
    <w:rsid w:val="00FA552D"/>
    <w:rsid w:val="00FB322E"/>
    <w:rsid w:val="00FB6FD6"/>
    <w:rsid w:val="00FC0608"/>
    <w:rsid w:val="00FC0997"/>
    <w:rsid w:val="00FC52FF"/>
    <w:rsid w:val="00FD096B"/>
    <w:rsid w:val="00FD1206"/>
    <w:rsid w:val="00FD4EC4"/>
    <w:rsid w:val="00FD5359"/>
    <w:rsid w:val="00FD58D8"/>
    <w:rsid w:val="00FE0734"/>
    <w:rsid w:val="00FE0B63"/>
    <w:rsid w:val="00FE0E1E"/>
    <w:rsid w:val="00FE196A"/>
    <w:rsid w:val="00FE200A"/>
    <w:rsid w:val="00FE631C"/>
    <w:rsid w:val="00FE6F61"/>
    <w:rsid w:val="00FE707F"/>
    <w:rsid w:val="00FE7912"/>
    <w:rsid w:val="00FF75C4"/>
    <w:rsid w:val="00FF7D84"/>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3FD8679"/>
  <w15:chartTrackingRefBased/>
  <w15:docId w15:val="{105926A9-5C5D-4E61-80E4-59A6944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D1"/>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C97B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C97BD1"/>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C97BD1"/>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97BD1"/>
    <w:pPr>
      <w:keepNext/>
      <w:numPr>
        <w:ilvl w:val="3"/>
        <w:numId w:val="3"/>
      </w:numPr>
      <w:tabs>
        <w:tab w:val="left" w:pos="2880"/>
      </w:tabs>
      <w:spacing w:after="120"/>
      <w:outlineLvl w:val="3"/>
    </w:pPr>
    <w:rPr>
      <w:b/>
    </w:rPr>
  </w:style>
  <w:style w:type="paragraph" w:styleId="Heading5">
    <w:name w:val="heading 5"/>
    <w:basedOn w:val="Normal"/>
    <w:next w:val="ParaNum"/>
    <w:qFormat/>
    <w:rsid w:val="00C97BD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97BD1"/>
    <w:pPr>
      <w:numPr>
        <w:ilvl w:val="5"/>
        <w:numId w:val="3"/>
      </w:numPr>
      <w:tabs>
        <w:tab w:val="left" w:pos="4320"/>
      </w:tabs>
      <w:spacing w:after="120"/>
      <w:outlineLvl w:val="5"/>
    </w:pPr>
    <w:rPr>
      <w:b/>
    </w:rPr>
  </w:style>
  <w:style w:type="paragraph" w:styleId="Heading7">
    <w:name w:val="heading 7"/>
    <w:basedOn w:val="Normal"/>
    <w:next w:val="ParaNum"/>
    <w:qFormat/>
    <w:rsid w:val="00C97B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7BD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97B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7B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BD1"/>
  </w:style>
  <w:style w:type="paragraph" w:customStyle="1" w:styleId="ParaNum">
    <w:name w:val="ParaNum"/>
    <w:basedOn w:val="Normal"/>
    <w:link w:val="ParaNumChar1"/>
    <w:rsid w:val="00C97BD1"/>
    <w:pPr>
      <w:numPr>
        <w:numId w:val="2"/>
      </w:numPr>
      <w:tabs>
        <w:tab w:val="clear" w:pos="1080"/>
        <w:tab w:val="num" w:pos="1440"/>
      </w:tabs>
      <w:spacing w:after="120"/>
    </w:pPr>
  </w:style>
  <w:style w:type="paragraph" w:styleId="EndnoteText">
    <w:name w:val="endnote text"/>
    <w:basedOn w:val="Normal"/>
    <w:semiHidden/>
    <w:rsid w:val="00C97BD1"/>
    <w:rPr>
      <w:sz w:val="20"/>
    </w:rPr>
  </w:style>
  <w:style w:type="character" w:styleId="EndnoteReference">
    <w:name w:val="endnote reference"/>
    <w:semiHidden/>
    <w:rsid w:val="00C97BD1"/>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C97BD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97BD1"/>
    <w:rPr>
      <w:rFonts w:ascii="Times New Roman" w:hAnsi="Times New Roman"/>
      <w:dstrike w:val="0"/>
      <w:color w:val="auto"/>
      <w:sz w:val="20"/>
      <w:vertAlign w:val="superscript"/>
    </w:rPr>
  </w:style>
  <w:style w:type="paragraph" w:styleId="TOC1">
    <w:name w:val="toc 1"/>
    <w:basedOn w:val="Normal"/>
    <w:next w:val="Normal"/>
    <w:rsid w:val="00C97BD1"/>
    <w:pPr>
      <w:tabs>
        <w:tab w:val="left" w:pos="360"/>
        <w:tab w:val="right" w:leader="dot" w:pos="9360"/>
      </w:tabs>
      <w:suppressAutoHyphens/>
      <w:ind w:left="360" w:right="720" w:hanging="360"/>
    </w:pPr>
    <w:rPr>
      <w:caps/>
      <w:noProof/>
    </w:rPr>
  </w:style>
  <w:style w:type="paragraph" w:styleId="TOC2">
    <w:name w:val="toc 2"/>
    <w:basedOn w:val="Normal"/>
    <w:next w:val="Normal"/>
    <w:rsid w:val="00C97BD1"/>
    <w:pPr>
      <w:tabs>
        <w:tab w:val="left" w:pos="720"/>
        <w:tab w:val="right" w:leader="dot" w:pos="9360"/>
      </w:tabs>
      <w:suppressAutoHyphens/>
      <w:ind w:left="720" w:right="720" w:hanging="360"/>
    </w:pPr>
    <w:rPr>
      <w:noProof/>
    </w:rPr>
  </w:style>
  <w:style w:type="paragraph" w:styleId="TOC3">
    <w:name w:val="toc 3"/>
    <w:basedOn w:val="Normal"/>
    <w:next w:val="Normal"/>
    <w:semiHidden/>
    <w:rsid w:val="00C97B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7B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7B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7B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7B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7B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7B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7BD1"/>
    <w:pPr>
      <w:tabs>
        <w:tab w:val="right" w:pos="9360"/>
      </w:tabs>
      <w:suppressAutoHyphens/>
    </w:pPr>
  </w:style>
  <w:style w:type="character" w:customStyle="1" w:styleId="EquationCaption">
    <w:name w:val="_Equation Caption"/>
    <w:rsid w:val="00C97BD1"/>
  </w:style>
  <w:style w:type="paragraph" w:styleId="Header">
    <w:name w:val="header"/>
    <w:basedOn w:val="Normal"/>
    <w:link w:val="HeaderChar"/>
    <w:autoRedefine/>
    <w:rsid w:val="00C97BD1"/>
    <w:pPr>
      <w:tabs>
        <w:tab w:val="center" w:pos="4680"/>
        <w:tab w:val="right" w:pos="9360"/>
      </w:tabs>
    </w:pPr>
    <w:rPr>
      <w:b/>
    </w:rPr>
  </w:style>
  <w:style w:type="paragraph" w:styleId="Footer">
    <w:name w:val="footer"/>
    <w:basedOn w:val="Normal"/>
    <w:link w:val="FooterChar"/>
    <w:uiPriority w:val="99"/>
    <w:rsid w:val="00C97BD1"/>
    <w:pPr>
      <w:tabs>
        <w:tab w:val="center" w:pos="4320"/>
        <w:tab w:val="right" w:pos="8640"/>
      </w:tabs>
    </w:pPr>
  </w:style>
  <w:style w:type="character" w:styleId="PageNumber">
    <w:name w:val="page number"/>
    <w:basedOn w:val="DefaultParagraphFont"/>
    <w:rsid w:val="00C97BD1"/>
  </w:style>
  <w:style w:type="paragraph" w:styleId="BlockText">
    <w:name w:val="Block Text"/>
    <w:basedOn w:val="Normal"/>
    <w:rsid w:val="00C97BD1"/>
    <w:pPr>
      <w:spacing w:after="240"/>
      <w:ind w:left="1440" w:right="1440"/>
    </w:pPr>
  </w:style>
  <w:style w:type="paragraph" w:customStyle="1" w:styleId="Paratitle">
    <w:name w:val="Para title"/>
    <w:basedOn w:val="Normal"/>
    <w:rsid w:val="00C97BD1"/>
    <w:pPr>
      <w:tabs>
        <w:tab w:val="center" w:pos="9270"/>
      </w:tabs>
      <w:spacing w:after="240"/>
    </w:pPr>
    <w:rPr>
      <w:spacing w:val="-2"/>
    </w:rPr>
  </w:style>
  <w:style w:type="paragraph" w:customStyle="1" w:styleId="Bullet">
    <w:name w:val="Bullet"/>
    <w:basedOn w:val="Normal"/>
    <w:rsid w:val="00C97BD1"/>
    <w:pPr>
      <w:tabs>
        <w:tab w:val="left" w:pos="2160"/>
      </w:tabs>
      <w:spacing w:after="220"/>
      <w:ind w:left="2160" w:hanging="720"/>
    </w:pPr>
  </w:style>
  <w:style w:type="paragraph" w:customStyle="1" w:styleId="TableFormat">
    <w:name w:val="TableFormat"/>
    <w:basedOn w:val="Bullet"/>
    <w:rsid w:val="00C97BD1"/>
    <w:pPr>
      <w:tabs>
        <w:tab w:val="clear" w:pos="2160"/>
        <w:tab w:val="left" w:pos="5040"/>
      </w:tabs>
      <w:ind w:left="5040" w:hanging="3600"/>
    </w:pPr>
  </w:style>
  <w:style w:type="paragraph" w:customStyle="1" w:styleId="TOCTitle">
    <w:name w:val="TOC Title"/>
    <w:basedOn w:val="Normal"/>
    <w:rsid w:val="00C97B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7BD1"/>
    <w:pPr>
      <w:jc w:val="center"/>
    </w:pPr>
    <w:rPr>
      <w:rFonts w:ascii="Times New Roman Bold" w:hAnsi="Times New Roman Bold"/>
      <w:b/>
      <w:bCs/>
      <w:caps/>
      <w:szCs w:val="22"/>
    </w:rPr>
  </w:style>
  <w:style w:type="character" w:styleId="Hyperlink">
    <w:name w:val="Hyperlink"/>
    <w:rsid w:val="00C97BD1"/>
    <w:rPr>
      <w:color w:val="0000FF"/>
      <w:u w:val="single"/>
    </w:rPr>
  </w:style>
  <w:style w:type="character" w:customStyle="1" w:styleId="FooterChar">
    <w:name w:val="Footer Char"/>
    <w:link w:val="Footer"/>
    <w:uiPriority w:val="99"/>
    <w:rsid w:val="00C97BD1"/>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A87BB7"/>
    <w:rPr>
      <w:rFonts w:ascii="Times New Roman Bold" w:hAnsi="Times New Roman Bold"/>
      <w:b/>
      <w:caps/>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253246"/>
    <w:rPr>
      <w:b/>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87BB7"/>
  </w:style>
  <w:style w:type="character" w:customStyle="1" w:styleId="ParaNumChar1">
    <w:name w:val="ParaNum Char1"/>
    <w:link w:val="ParaNum"/>
    <w:locked/>
    <w:rsid w:val="00A87BB7"/>
    <w:rPr>
      <w:snapToGrid w:val="0"/>
      <w:kern w:val="28"/>
      <w:sz w:val="22"/>
    </w:rPr>
  </w:style>
  <w:style w:type="character" w:styleId="CommentReference">
    <w:name w:val="annotation reference"/>
    <w:rsid w:val="00A87BB7"/>
    <w:rPr>
      <w:sz w:val="16"/>
      <w:szCs w:val="16"/>
    </w:rPr>
  </w:style>
  <w:style w:type="character" w:customStyle="1" w:styleId="apple-converted-space">
    <w:name w:val="apple-converted-space"/>
    <w:rsid w:val="00A87BB7"/>
  </w:style>
  <w:style w:type="character" w:customStyle="1" w:styleId="cohovertext">
    <w:name w:val="co_hovertext"/>
    <w:rsid w:val="00E73E26"/>
  </w:style>
  <w:style w:type="character" w:customStyle="1" w:styleId="HeaderChar">
    <w:name w:val="Header Char"/>
    <w:link w:val="Header"/>
    <w:rsid w:val="00E73E26"/>
    <w:rPr>
      <w:b/>
      <w:snapToGrid w:val="0"/>
      <w:kern w:val="28"/>
      <w:sz w:val="22"/>
    </w:rPr>
  </w:style>
  <w:style w:type="paragraph" w:styleId="BalloonText">
    <w:name w:val="Balloon Text"/>
    <w:basedOn w:val="Normal"/>
    <w:link w:val="BalloonTextChar"/>
    <w:rsid w:val="00194114"/>
    <w:rPr>
      <w:rFonts w:ascii="Segoe UI" w:hAnsi="Segoe UI" w:cs="Segoe UI"/>
      <w:sz w:val="18"/>
      <w:szCs w:val="18"/>
    </w:rPr>
  </w:style>
  <w:style w:type="character" w:customStyle="1" w:styleId="BalloonTextChar">
    <w:name w:val="Balloon Text Char"/>
    <w:link w:val="BalloonText"/>
    <w:rsid w:val="00194114"/>
    <w:rPr>
      <w:rFonts w:ascii="Segoe UI" w:hAnsi="Segoe UI" w:cs="Segoe UI"/>
      <w:snapToGrid w:val="0"/>
      <w:kern w:val="28"/>
      <w:sz w:val="18"/>
      <w:szCs w:val="18"/>
    </w:rPr>
  </w:style>
  <w:style w:type="character" w:customStyle="1" w:styleId="UnresolvedMention">
    <w:name w:val="Unresolved Mention"/>
    <w:basedOn w:val="DefaultParagraphFont"/>
    <w:rsid w:val="00D54B9A"/>
    <w:rPr>
      <w:color w:val="605E5C"/>
      <w:shd w:val="clear" w:color="auto" w:fill="E1DFDD"/>
    </w:rPr>
  </w:style>
  <w:style w:type="character" w:customStyle="1" w:styleId="normaltextrun">
    <w:name w:val="normaltextrun"/>
    <w:rsid w:val="00F12892"/>
  </w:style>
  <w:style w:type="paragraph" w:styleId="CommentText">
    <w:name w:val="annotation text"/>
    <w:basedOn w:val="Normal"/>
    <w:link w:val="CommentTextChar"/>
    <w:uiPriority w:val="99"/>
    <w:unhideWhenUsed/>
    <w:rsid w:val="001A1849"/>
    <w:rPr>
      <w:sz w:val="20"/>
    </w:rPr>
  </w:style>
  <w:style w:type="character" w:customStyle="1" w:styleId="CommentTextChar">
    <w:name w:val="Comment Text Char"/>
    <w:basedOn w:val="DefaultParagraphFont"/>
    <w:link w:val="CommentText"/>
    <w:uiPriority w:val="99"/>
    <w:rsid w:val="001A1849"/>
    <w:rPr>
      <w:snapToGrid w:val="0"/>
      <w:kern w:val="28"/>
    </w:rPr>
  </w:style>
  <w:style w:type="table" w:styleId="TableGrid">
    <w:name w:val="Table Grid"/>
    <w:basedOn w:val="TableNormal"/>
    <w:rsid w:val="0031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C78"/>
    <w:pPr>
      <w:ind w:left="720"/>
      <w:contextualSpacing/>
    </w:pPr>
  </w:style>
  <w:style w:type="character" w:styleId="FollowedHyperlink">
    <w:name w:val="FollowedHyperlink"/>
    <w:basedOn w:val="DefaultParagraphFont"/>
    <w:rsid w:val="006700FE"/>
    <w:rPr>
      <w:color w:val="954F72" w:themeColor="followedHyperlink"/>
      <w:u w:val="single"/>
    </w:rPr>
  </w:style>
  <w:style w:type="paragraph" w:styleId="CommentSubject">
    <w:name w:val="annotation subject"/>
    <w:basedOn w:val="CommentText"/>
    <w:next w:val="CommentText"/>
    <w:link w:val="CommentSubjectChar"/>
    <w:rsid w:val="00952D89"/>
    <w:rPr>
      <w:b/>
      <w:bCs/>
    </w:rPr>
  </w:style>
  <w:style w:type="character" w:customStyle="1" w:styleId="CommentSubjectChar">
    <w:name w:val="Comment Subject Char"/>
    <w:basedOn w:val="CommentTextChar"/>
    <w:link w:val="CommentSubject"/>
    <w:rsid w:val="00952D89"/>
    <w:rPr>
      <w:b/>
      <w:bCs/>
      <w:snapToGrid w:val="0"/>
      <w:kern w:val="28"/>
    </w:rPr>
  </w:style>
  <w:style w:type="character" w:styleId="Emphasis">
    <w:name w:val="Emphasis"/>
    <w:basedOn w:val="DefaultParagraphFont"/>
    <w:uiPriority w:val="20"/>
    <w:qFormat/>
    <w:rsid w:val="00F91C98"/>
    <w:rPr>
      <w:i/>
      <w:iCs/>
    </w:rPr>
  </w:style>
  <w:style w:type="character" w:customStyle="1" w:styleId="cosearchterm">
    <w:name w:val="co_searchterm"/>
    <w:basedOn w:val="DefaultParagraphFont"/>
    <w:rsid w:val="00F91C98"/>
  </w:style>
  <w:style w:type="paragraph" w:customStyle="1" w:styleId="Default">
    <w:name w:val="Default"/>
    <w:rsid w:val="00E94D6B"/>
    <w:pPr>
      <w:autoSpaceDE w:val="0"/>
      <w:autoSpaceDN w:val="0"/>
      <w:adjustRightInd w:val="0"/>
    </w:pPr>
    <w:rPr>
      <w:rFonts w:ascii="Franklin Gothic Book" w:hAnsi="Franklin Gothic Book" w:eastAsiaTheme="minorHAnsi" w:cs="Franklin Gothic Book"/>
      <w:color w:val="000000"/>
      <w:sz w:val="24"/>
      <w:szCs w:val="24"/>
    </w:rPr>
  </w:style>
  <w:style w:type="paragraph" w:styleId="Revision">
    <w:name w:val="Revision"/>
    <w:hidden/>
    <w:uiPriority w:val="99"/>
    <w:semiHidden/>
    <w:rsid w:val="00244675"/>
    <w:rPr>
      <w:snapToGrid w:val="0"/>
      <w:kern w:val="28"/>
      <w:sz w:val="22"/>
    </w:rPr>
  </w:style>
  <w:style w:type="character" w:customStyle="1" w:styleId="ParaNumChar">
    <w:name w:val="ParaNum Char"/>
    <w:basedOn w:val="DefaultParagraphFont"/>
    <w:locked/>
    <w:rsid w:val="000F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proposes-updates-technical-rules-radio-broadcasters" TargetMode="External" /><Relationship Id="rId2" Type="http://schemas.openxmlformats.org/officeDocument/2006/relationships/hyperlink" Target="https://transition.fcc.gov/bureaus/ib/sand/agree/files/mex-bc/fmbc.pdf" TargetMode="External" /><Relationship Id="rId3" Type="http://schemas.openxmlformats.org/officeDocument/2006/relationships/hyperlink" Target="https://www.fcc.gov/broadcast-agreements-canada" TargetMode="External" /><Relationship Id="rId4" Type="http://schemas.openxmlformats.org/officeDocument/2006/relationships/hyperlink" Target="https://factfinder.census.gov/faces/affhelp/jsf/pages/metadata.xhtml?lang=en&amp;type=ib&amp;id=ib.en./ECN.NAICS2012.515112" TargetMode="External" /><Relationship Id="rId5" Type="http://schemas.openxmlformats.org/officeDocument/2006/relationships/hyperlink" Target="https://www.census.gov/cgi-bin/sssd/naics/naicsrch?input=515112&amp;search=2017+NAICS+Search&amp;search=2017" TargetMode="External" /><Relationship Id="rId6" Type="http://schemas.openxmlformats.org/officeDocument/2006/relationships/hyperlink" Target="https://factfinder.census.gov/bkmk/table/1.0/en/ECN/2012_US/51SSSZ4//naics~515112|515120" TargetMode="External" /><Relationship Id="rId7" Type="http://schemas.openxmlformats.org/officeDocument/2006/relationships/hyperlink" Target="https://www.fcc.gov/document/broadcast-station-totals-december-31-202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