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29B5" w:rsidRPr="003060C8" w:rsidP="00C82B6B" w14:paraId="1F7A9744" w14:textId="4AE8EC77">
      <w:pPr>
        <w:jc w:val="right"/>
        <w:rPr>
          <w:b/>
          <w:szCs w:val="22"/>
        </w:rPr>
      </w:pPr>
      <w:r w:rsidRPr="003060C8">
        <w:rPr>
          <w:b/>
          <w:szCs w:val="22"/>
        </w:rPr>
        <w:t xml:space="preserve">DA </w:t>
      </w:r>
      <w:r w:rsidRPr="003060C8" w:rsidR="00150A04">
        <w:rPr>
          <w:b/>
          <w:szCs w:val="22"/>
        </w:rPr>
        <w:t>2</w:t>
      </w:r>
      <w:r w:rsidR="007E2248">
        <w:rPr>
          <w:b/>
          <w:szCs w:val="22"/>
        </w:rPr>
        <w:t>4</w:t>
      </w:r>
      <w:r w:rsidR="001F786B">
        <w:rPr>
          <w:b/>
          <w:szCs w:val="22"/>
        </w:rPr>
        <w:t>-92</w:t>
      </w:r>
    </w:p>
    <w:p w:rsidR="00CD4630" w:rsidRPr="003060C8" w:rsidP="00CD4630" w14:paraId="288B09B0" w14:textId="382DA31F">
      <w:pPr>
        <w:spacing w:before="60"/>
        <w:jc w:val="right"/>
        <w:rPr>
          <w:b/>
          <w:szCs w:val="22"/>
        </w:rPr>
      </w:pPr>
      <w:r>
        <w:rPr>
          <w:b/>
          <w:szCs w:val="22"/>
        </w:rPr>
        <w:t>February 1,</w:t>
      </w:r>
      <w:r w:rsidRPr="003060C8" w:rsidR="00FF747F">
        <w:rPr>
          <w:b/>
          <w:szCs w:val="22"/>
        </w:rPr>
        <w:t xml:space="preserve"> 20</w:t>
      </w:r>
      <w:r w:rsidRPr="003060C8" w:rsidR="00150A04">
        <w:rPr>
          <w:b/>
          <w:szCs w:val="22"/>
        </w:rPr>
        <w:t>2</w:t>
      </w:r>
      <w:r w:rsidR="007E2248">
        <w:rPr>
          <w:b/>
          <w:szCs w:val="22"/>
        </w:rPr>
        <w:t>4</w:t>
      </w:r>
    </w:p>
    <w:p w:rsidR="00CD4630" w:rsidRPr="003060C8" w:rsidP="00CD4630" w14:paraId="78FF63CD" w14:textId="77777777">
      <w:pPr>
        <w:rPr>
          <w:b/>
          <w:szCs w:val="22"/>
        </w:rPr>
      </w:pPr>
    </w:p>
    <w:p w:rsidR="003928A5" w:rsidRPr="003060C8" w:rsidP="00CD4630" w14:paraId="6895FD42" w14:textId="77777777">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p>
    <w:p w:rsidR="007E2248" w:rsidP="007E2248" w14:paraId="53872AA0" w14:textId="5C8CB055">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napToGrid/>
          <w:kern w:val="0"/>
          <w:szCs w:val="22"/>
        </w:rPr>
      </w:pPr>
      <w:r>
        <w:rPr>
          <w:b/>
          <w:kern w:val="0"/>
          <w:szCs w:val="22"/>
        </w:rPr>
        <w:t xml:space="preserve">MEDIA BUREAU PROVIDES GUIDANCE ON THE PROCESSING </w:t>
      </w:r>
    </w:p>
    <w:p w:rsidR="007E2248" w:rsidP="007E2248" w14:paraId="037B2747" w14:textId="562E4FBB">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OF SCHEDULE 318 APPLICATIONS FILED IN THE LPFM WINDOW</w:t>
      </w:r>
    </w:p>
    <w:p w:rsidR="007E2248" w:rsidP="007E2248" w14:paraId="269E7888" w14:textId="77777777">
      <w:pPr>
        <w:pStyle w:val="BlockText"/>
        <w:widowControl/>
        <w:tabs>
          <w:tab w:val="left" w:pos="810"/>
        </w:tabs>
        <w:spacing w:after="0"/>
        <w:ind w:left="720" w:right="0"/>
        <w:jc w:val="center"/>
        <w:rPr>
          <w:b/>
          <w:szCs w:val="22"/>
        </w:rPr>
      </w:pPr>
    </w:p>
    <w:p w:rsidR="004B52F5" w:rsidP="007E2248" w14:paraId="77FF0597" w14:textId="7A11960A">
      <w:pPr>
        <w:tabs>
          <w:tab w:val="left" w:pos="1"/>
          <w:tab w:val="left" w:pos="720"/>
          <w:tab w:val="left" w:pos="1440"/>
          <w:tab w:val="right" w:pos="9360"/>
        </w:tabs>
        <w:rPr>
          <w:szCs w:val="22"/>
        </w:rPr>
      </w:pPr>
      <w:r>
        <w:rPr>
          <w:szCs w:val="22"/>
        </w:rPr>
        <w:tab/>
      </w:r>
      <w:r>
        <w:rPr>
          <w:szCs w:val="22"/>
        </w:rPr>
        <w:tab/>
        <w:t>This Public Notice</w:t>
      </w:r>
      <w:r w:rsidRPr="003060C8" w:rsidR="00520DFF">
        <w:rPr>
          <w:szCs w:val="22"/>
        </w:rPr>
        <w:t xml:space="preserve"> provides an overview </w:t>
      </w:r>
      <w:r w:rsidR="00520DFF">
        <w:rPr>
          <w:szCs w:val="22"/>
        </w:rPr>
        <w:t xml:space="preserve">of </w:t>
      </w:r>
      <w:r>
        <w:rPr>
          <w:szCs w:val="22"/>
        </w:rPr>
        <w:t xml:space="preserve">the </w:t>
      </w:r>
      <w:r w:rsidR="006A3FB9">
        <w:rPr>
          <w:szCs w:val="22"/>
        </w:rPr>
        <w:t xml:space="preserve">processing of the </w:t>
      </w:r>
      <w:r w:rsidR="007871A3">
        <w:rPr>
          <w:szCs w:val="22"/>
        </w:rPr>
        <w:t xml:space="preserve">Form 2100, </w:t>
      </w:r>
      <w:r>
        <w:rPr>
          <w:szCs w:val="22"/>
        </w:rPr>
        <w:t xml:space="preserve">Schedule 318 </w:t>
      </w:r>
      <w:r w:rsidR="007871A3">
        <w:rPr>
          <w:szCs w:val="22"/>
        </w:rPr>
        <w:t xml:space="preserve">(Schedule 318) </w:t>
      </w:r>
      <w:r>
        <w:rPr>
          <w:szCs w:val="22"/>
        </w:rPr>
        <w:t xml:space="preserve">applications for </w:t>
      </w:r>
      <w:r w:rsidRPr="003060C8" w:rsidR="00D46761">
        <w:rPr>
          <w:szCs w:val="22"/>
        </w:rPr>
        <w:t>Low Power FM (LPFM) new station construction permits</w:t>
      </w:r>
      <w:r w:rsidR="00D46761">
        <w:rPr>
          <w:szCs w:val="22"/>
        </w:rPr>
        <w:t xml:space="preserve"> (LPFM Applications)</w:t>
      </w:r>
      <w:r>
        <w:rPr>
          <w:szCs w:val="22"/>
        </w:rPr>
        <w:t xml:space="preserve"> filed in the </w:t>
      </w:r>
      <w:r w:rsidR="00520DFF">
        <w:rPr>
          <w:szCs w:val="22"/>
        </w:rPr>
        <w:t xml:space="preserve">recent </w:t>
      </w:r>
      <w:r w:rsidR="006F3DA5">
        <w:rPr>
          <w:szCs w:val="22"/>
        </w:rPr>
        <w:t>December 2023, filing</w:t>
      </w:r>
      <w:r>
        <w:rPr>
          <w:szCs w:val="22"/>
        </w:rPr>
        <w:t xml:space="preserve"> window.</w:t>
      </w:r>
      <w:r>
        <w:rPr>
          <w:rStyle w:val="FootnoteReference"/>
          <w:szCs w:val="22"/>
        </w:rPr>
        <w:footnoteReference w:id="3"/>
      </w:r>
      <w:r>
        <w:rPr>
          <w:szCs w:val="22"/>
        </w:rPr>
        <w:t xml:space="preserve">  </w:t>
      </w:r>
      <w:r w:rsidR="00520DFF">
        <w:rPr>
          <w:szCs w:val="22"/>
        </w:rPr>
        <w:t>Specifically, i</w:t>
      </w:r>
      <w:r>
        <w:rPr>
          <w:szCs w:val="22"/>
        </w:rPr>
        <w:t>t provides information on the processing of singleton and mutually exclusive applications; applicants’ ability to file amendments, settlements, and time-share agreements; opportunities to file petitions to deny; and options to seek the reinstatement of dismissed applications</w:t>
      </w:r>
      <w:r w:rsidR="00382503">
        <w:rPr>
          <w:szCs w:val="22"/>
        </w:rPr>
        <w:t xml:space="preserve">.  </w:t>
      </w:r>
      <w:r w:rsidR="00D2699C">
        <w:rPr>
          <w:szCs w:val="22"/>
        </w:rPr>
        <w:t xml:space="preserve">As announced in the </w:t>
      </w:r>
      <w:r w:rsidRPr="00D2699C" w:rsidR="00D2699C">
        <w:rPr>
          <w:i/>
          <w:iCs/>
          <w:szCs w:val="22"/>
        </w:rPr>
        <w:t>LPFM Closing Notice</w:t>
      </w:r>
      <w:r w:rsidR="00D2699C">
        <w:rPr>
          <w:szCs w:val="22"/>
        </w:rPr>
        <w:t>, the</w:t>
      </w:r>
      <w:r w:rsidR="00D2699C">
        <w:rPr>
          <w:bCs/>
          <w:szCs w:val="22"/>
        </w:rPr>
        <w:t xml:space="preserve"> Bureau imposed a temporary freeze on the filing of </w:t>
      </w:r>
      <w:r w:rsidRPr="00D2699C" w:rsidR="00D2699C">
        <w:rPr>
          <w:bCs/>
          <w:szCs w:val="22"/>
        </w:rPr>
        <w:t>any</w:t>
      </w:r>
      <w:r w:rsidR="00D2699C">
        <w:rPr>
          <w:bCs/>
          <w:szCs w:val="22"/>
        </w:rPr>
        <w:t xml:space="preserve"> amendments to new LPFM station applications submitted in the December 2023</w:t>
      </w:r>
      <w:r w:rsidR="00F07904">
        <w:rPr>
          <w:bCs/>
          <w:szCs w:val="22"/>
        </w:rPr>
        <w:t>,</w:t>
      </w:r>
      <w:r w:rsidR="00D2699C">
        <w:rPr>
          <w:bCs/>
          <w:szCs w:val="22"/>
        </w:rPr>
        <w:t xml:space="preserve"> filing window.</w:t>
      </w:r>
      <w:r>
        <w:rPr>
          <w:rStyle w:val="FootnoteReference"/>
          <w:bCs/>
          <w:szCs w:val="22"/>
        </w:rPr>
        <w:footnoteReference w:id="4"/>
      </w:r>
      <w:r w:rsidR="00D2699C">
        <w:rPr>
          <w:bCs/>
          <w:szCs w:val="22"/>
        </w:rPr>
        <w:t xml:space="preserve">  The </w:t>
      </w:r>
      <w:r w:rsidR="00FE1793">
        <w:rPr>
          <w:bCs/>
          <w:szCs w:val="22"/>
        </w:rPr>
        <w:t xml:space="preserve">amendment filing </w:t>
      </w:r>
      <w:r w:rsidR="00D2699C">
        <w:rPr>
          <w:bCs/>
          <w:szCs w:val="22"/>
        </w:rPr>
        <w:t xml:space="preserve">freeze </w:t>
      </w:r>
      <w:r w:rsidR="00FE1793">
        <w:rPr>
          <w:bCs/>
          <w:szCs w:val="22"/>
        </w:rPr>
        <w:t>will be lifted</w:t>
      </w:r>
      <w:r w:rsidR="00D2699C">
        <w:rPr>
          <w:bCs/>
          <w:szCs w:val="22"/>
        </w:rPr>
        <w:t xml:space="preserve"> </w:t>
      </w:r>
      <w:r w:rsidR="00FE1793">
        <w:rPr>
          <w:bCs/>
          <w:szCs w:val="22"/>
        </w:rPr>
        <w:t>at</w:t>
      </w:r>
      <w:r w:rsidR="00D2699C">
        <w:rPr>
          <w:bCs/>
          <w:szCs w:val="22"/>
        </w:rPr>
        <w:t xml:space="preserve"> 6:00 pm EST on </w:t>
      </w:r>
      <w:r w:rsidRPr="0025411A" w:rsidR="00D2699C">
        <w:rPr>
          <w:bCs/>
          <w:szCs w:val="22"/>
        </w:rPr>
        <w:t>Wednesday, January 31, 2024</w:t>
      </w:r>
      <w:r w:rsidR="00D2699C">
        <w:rPr>
          <w:bCs/>
          <w:szCs w:val="22"/>
        </w:rPr>
        <w:t xml:space="preserve">.  </w:t>
      </w:r>
      <w:r w:rsidR="007267C3">
        <w:rPr>
          <w:szCs w:val="22"/>
        </w:rPr>
        <w:t xml:space="preserve"> </w:t>
      </w:r>
    </w:p>
    <w:p w:rsidR="007E2248" w:rsidP="007E2248" w14:paraId="392F0044" w14:textId="77777777">
      <w:pPr>
        <w:tabs>
          <w:tab w:val="left" w:pos="1"/>
          <w:tab w:val="left" w:pos="720"/>
          <w:tab w:val="left" w:pos="1440"/>
          <w:tab w:val="right" w:pos="9360"/>
        </w:tabs>
        <w:rPr>
          <w:szCs w:val="22"/>
        </w:rPr>
      </w:pPr>
    </w:p>
    <w:p w:rsidR="007E2248" w:rsidP="007E2248" w14:paraId="73990E0F" w14:textId="43F359EE">
      <w:pPr>
        <w:tabs>
          <w:tab w:val="left" w:pos="1"/>
          <w:tab w:val="left" w:pos="720"/>
          <w:tab w:val="left" w:pos="1440"/>
          <w:tab w:val="right" w:pos="9360"/>
        </w:tabs>
        <w:rPr>
          <w:szCs w:val="22"/>
        </w:rPr>
      </w:pPr>
      <w:r>
        <w:rPr>
          <w:szCs w:val="22"/>
        </w:rPr>
        <w:tab/>
      </w:r>
      <w:r w:rsidR="00C05EA9">
        <w:rPr>
          <w:szCs w:val="22"/>
        </w:rPr>
        <w:tab/>
      </w:r>
      <w:r w:rsidR="00E21F4D">
        <w:rPr>
          <w:b/>
          <w:szCs w:val="22"/>
        </w:rPr>
        <w:t>General Processing Procedures.</w:t>
      </w:r>
      <w:r>
        <w:rPr>
          <w:b/>
          <w:szCs w:val="22"/>
        </w:rPr>
        <w:t xml:space="preserve">  </w:t>
      </w:r>
      <w:r>
        <w:rPr>
          <w:szCs w:val="22"/>
        </w:rPr>
        <w:t xml:space="preserve">The </w:t>
      </w:r>
      <w:r w:rsidR="00520DFF">
        <w:rPr>
          <w:szCs w:val="22"/>
        </w:rPr>
        <w:t xml:space="preserve">Media </w:t>
      </w:r>
      <w:r>
        <w:rPr>
          <w:szCs w:val="22"/>
        </w:rPr>
        <w:t xml:space="preserve">Bureau </w:t>
      </w:r>
      <w:r w:rsidR="00520DFF">
        <w:rPr>
          <w:szCs w:val="22"/>
        </w:rPr>
        <w:t xml:space="preserve">(Bureau) </w:t>
      </w:r>
      <w:r>
        <w:rPr>
          <w:szCs w:val="22"/>
        </w:rPr>
        <w:t xml:space="preserve">received </w:t>
      </w:r>
      <w:r w:rsidRPr="00217634" w:rsidR="008D0C96">
        <w:rPr>
          <w:szCs w:val="22"/>
        </w:rPr>
        <w:t>1,336</w:t>
      </w:r>
      <w:r>
        <w:rPr>
          <w:szCs w:val="22"/>
        </w:rPr>
        <w:t xml:space="preserve"> </w:t>
      </w:r>
      <w:r w:rsidR="00487827">
        <w:rPr>
          <w:szCs w:val="22"/>
        </w:rPr>
        <w:t>Schedule</w:t>
      </w:r>
      <w:r>
        <w:rPr>
          <w:szCs w:val="22"/>
        </w:rPr>
        <w:t xml:space="preserve"> 318 </w:t>
      </w:r>
      <w:r w:rsidR="00E21F4D">
        <w:rPr>
          <w:szCs w:val="22"/>
        </w:rPr>
        <w:t>LPFM Applications</w:t>
      </w:r>
      <w:r w:rsidR="00F4163A">
        <w:rPr>
          <w:szCs w:val="22"/>
        </w:rPr>
        <w:t xml:space="preserve"> during the December 6 – December 13, 2023, LPFM filing window</w:t>
      </w:r>
      <w:r>
        <w:rPr>
          <w:szCs w:val="22"/>
        </w:rPr>
        <w:t>.</w:t>
      </w:r>
      <w:r w:rsidR="00E21F4D">
        <w:rPr>
          <w:szCs w:val="22"/>
        </w:rPr>
        <w:t xml:space="preserve">  The processing of the</w:t>
      </w:r>
      <w:r w:rsidR="00F4163A">
        <w:rPr>
          <w:szCs w:val="22"/>
        </w:rPr>
        <w:t>se</w:t>
      </w:r>
      <w:r w:rsidR="00E21F4D">
        <w:rPr>
          <w:szCs w:val="22"/>
        </w:rPr>
        <w:t xml:space="preserve"> LPFM Applications will occur in the following manner (discussed more fully below):</w:t>
      </w:r>
      <w:r>
        <w:rPr>
          <w:szCs w:val="22"/>
        </w:rPr>
        <w:t xml:space="preserve">  </w:t>
      </w:r>
    </w:p>
    <w:p w:rsidR="007E2248" w:rsidP="007E2248" w14:paraId="64753CE7" w14:textId="28D82A35">
      <w:pPr>
        <w:tabs>
          <w:tab w:val="left" w:pos="1"/>
          <w:tab w:val="left" w:pos="720"/>
          <w:tab w:val="left" w:pos="1440"/>
          <w:tab w:val="right" w:pos="9360"/>
        </w:tabs>
        <w:rPr>
          <w:szCs w:val="22"/>
        </w:rPr>
      </w:pPr>
      <w:r>
        <w:rPr>
          <w:szCs w:val="22"/>
        </w:rPr>
        <w:tab/>
      </w:r>
      <w:r>
        <w:rPr>
          <w:szCs w:val="22"/>
        </w:rPr>
        <w:tab/>
      </w:r>
    </w:p>
    <w:p w:rsidR="007E2248" w:rsidP="007E2248" w14:paraId="00AE5811" w14:textId="7B4D2D71">
      <w:pPr>
        <w:pStyle w:val="ListParagraph"/>
        <w:numPr>
          <w:ilvl w:val="0"/>
          <w:numId w:val="11"/>
        </w:numPr>
        <w:tabs>
          <w:tab w:val="left" w:pos="1"/>
          <w:tab w:val="left" w:pos="720"/>
          <w:tab w:val="left" w:pos="1440"/>
          <w:tab w:val="right" w:pos="9360"/>
        </w:tabs>
        <w:rPr>
          <w:szCs w:val="22"/>
        </w:rPr>
      </w:pPr>
      <w:r>
        <w:rPr>
          <w:szCs w:val="22"/>
        </w:rPr>
        <w:t>The Bureau</w:t>
      </w:r>
      <w:r w:rsidR="006A30E0">
        <w:rPr>
          <w:szCs w:val="22"/>
        </w:rPr>
        <w:t xml:space="preserve"> is currently identifying</w:t>
      </w:r>
      <w:r>
        <w:rPr>
          <w:szCs w:val="22"/>
        </w:rPr>
        <w:t xml:space="preserve"> acceptable singleton applications.</w:t>
      </w:r>
    </w:p>
    <w:p w:rsidR="007E2248" w:rsidP="007E2248" w14:paraId="3B75381A" w14:textId="4A09027E">
      <w:pPr>
        <w:pStyle w:val="ListParagraph"/>
        <w:numPr>
          <w:ilvl w:val="0"/>
          <w:numId w:val="11"/>
        </w:numPr>
        <w:tabs>
          <w:tab w:val="left" w:pos="1"/>
          <w:tab w:val="left" w:pos="720"/>
          <w:tab w:val="left" w:pos="1440"/>
          <w:tab w:val="right" w:pos="9360"/>
        </w:tabs>
        <w:rPr>
          <w:szCs w:val="22"/>
        </w:rPr>
      </w:pPr>
      <w:r>
        <w:rPr>
          <w:szCs w:val="22"/>
        </w:rPr>
        <w:t>The</w:t>
      </w:r>
      <w:r>
        <w:rPr>
          <w:szCs w:val="22"/>
        </w:rPr>
        <w:t xml:space="preserve"> Bureau will </w:t>
      </w:r>
      <w:r>
        <w:rPr>
          <w:szCs w:val="22"/>
        </w:rPr>
        <w:t xml:space="preserve">subsequently </w:t>
      </w:r>
      <w:r>
        <w:rPr>
          <w:szCs w:val="22"/>
        </w:rPr>
        <w:t>release Public Notice</w:t>
      </w:r>
      <w:r w:rsidR="008B53AB">
        <w:rPr>
          <w:szCs w:val="22"/>
        </w:rPr>
        <w:t>s</w:t>
      </w:r>
      <w:r>
        <w:rPr>
          <w:szCs w:val="22"/>
        </w:rPr>
        <w:t xml:space="preserve"> identifying the mutually exclusive </w:t>
      </w:r>
      <w:r>
        <w:rPr>
          <w:szCs w:val="22"/>
        </w:rPr>
        <w:t xml:space="preserve">(MX) </w:t>
      </w:r>
      <w:r>
        <w:rPr>
          <w:szCs w:val="22"/>
        </w:rPr>
        <w:t>application groups</w:t>
      </w:r>
      <w:r>
        <w:rPr>
          <w:szCs w:val="22"/>
        </w:rPr>
        <w:t xml:space="preserve"> (MX Group PN)</w:t>
      </w:r>
      <w:r>
        <w:rPr>
          <w:szCs w:val="22"/>
        </w:rPr>
        <w:t xml:space="preserve">.  </w:t>
      </w:r>
    </w:p>
    <w:p w:rsidR="007E2248" w:rsidP="007E2248" w14:paraId="1AF61291" w14:textId="078601BD">
      <w:pPr>
        <w:pStyle w:val="ListParagraph"/>
        <w:numPr>
          <w:ilvl w:val="0"/>
          <w:numId w:val="11"/>
        </w:numPr>
        <w:tabs>
          <w:tab w:val="left" w:pos="1"/>
          <w:tab w:val="left" w:pos="720"/>
          <w:tab w:val="left" w:pos="1440"/>
          <w:tab w:val="right" w:pos="9360"/>
        </w:tabs>
        <w:rPr>
          <w:szCs w:val="22"/>
        </w:rPr>
      </w:pPr>
      <w:r>
        <w:rPr>
          <w:szCs w:val="22"/>
        </w:rPr>
        <w:t xml:space="preserve">Effective with the release of </w:t>
      </w:r>
      <w:r w:rsidR="008B53AB">
        <w:rPr>
          <w:szCs w:val="22"/>
        </w:rPr>
        <w:t>an</w:t>
      </w:r>
      <w:r>
        <w:rPr>
          <w:szCs w:val="22"/>
        </w:rPr>
        <w:t xml:space="preserve"> </w:t>
      </w:r>
      <w:r w:rsidR="006A30E0">
        <w:rPr>
          <w:szCs w:val="22"/>
        </w:rPr>
        <w:t>MX Group PN</w:t>
      </w:r>
      <w:r>
        <w:rPr>
          <w:szCs w:val="22"/>
        </w:rPr>
        <w:t xml:space="preserve">, </w:t>
      </w:r>
      <w:r w:rsidR="008B53AB">
        <w:rPr>
          <w:szCs w:val="22"/>
        </w:rPr>
        <w:t>the MX</w:t>
      </w:r>
      <w:r>
        <w:rPr>
          <w:szCs w:val="22"/>
        </w:rPr>
        <w:t xml:space="preserve"> applicants will have the ability to fil</w:t>
      </w:r>
      <w:r w:rsidR="00364D77">
        <w:rPr>
          <w:szCs w:val="22"/>
        </w:rPr>
        <w:t>e</w:t>
      </w:r>
      <w:r>
        <w:rPr>
          <w:szCs w:val="22"/>
        </w:rPr>
        <w:t xml:space="preserve"> technical amendments and/or enter into settlement agreements to resolve application conflicts.  </w:t>
      </w:r>
    </w:p>
    <w:p w:rsidR="00364D77" w:rsidP="007E2248" w14:paraId="0054A487" w14:textId="77777777">
      <w:pPr>
        <w:pStyle w:val="ListParagraph"/>
        <w:numPr>
          <w:ilvl w:val="0"/>
          <w:numId w:val="11"/>
        </w:numPr>
        <w:tabs>
          <w:tab w:val="left" w:pos="1"/>
          <w:tab w:val="left" w:pos="720"/>
          <w:tab w:val="left" w:pos="1440"/>
          <w:tab w:val="right" w:pos="9360"/>
        </w:tabs>
        <w:rPr>
          <w:szCs w:val="22"/>
        </w:rPr>
      </w:pPr>
      <w:r>
        <w:rPr>
          <w:szCs w:val="22"/>
        </w:rPr>
        <w:t>Following the Bureau’s review of technical amendments and agreements filed to remove application conflicts, the Commission will identify</w:t>
      </w:r>
      <w:r w:rsidR="00F4163A">
        <w:rPr>
          <w:szCs w:val="22"/>
        </w:rPr>
        <w:t>, by Public Notice</w:t>
      </w:r>
      <w:r w:rsidR="008B53AB">
        <w:rPr>
          <w:szCs w:val="22"/>
        </w:rPr>
        <w:t>s</w:t>
      </w:r>
      <w:r w:rsidR="00CD10DD">
        <w:rPr>
          <w:szCs w:val="22"/>
        </w:rPr>
        <w:t>, the</w:t>
      </w:r>
      <w:r>
        <w:rPr>
          <w:szCs w:val="22"/>
        </w:rPr>
        <w:t xml:space="preserve"> tentative selectee</w:t>
      </w:r>
      <w:r w:rsidR="00CD10DD">
        <w:rPr>
          <w:szCs w:val="22"/>
        </w:rPr>
        <w:t>(</w:t>
      </w:r>
      <w:r>
        <w:rPr>
          <w:szCs w:val="22"/>
        </w:rPr>
        <w:t>s</w:t>
      </w:r>
      <w:r w:rsidR="00CD10DD">
        <w:rPr>
          <w:szCs w:val="22"/>
        </w:rPr>
        <w:t>)</w:t>
      </w:r>
      <w:r>
        <w:rPr>
          <w:szCs w:val="22"/>
        </w:rPr>
        <w:t xml:space="preserve"> from each </w:t>
      </w:r>
      <w:r w:rsidR="006A30E0">
        <w:rPr>
          <w:szCs w:val="22"/>
        </w:rPr>
        <w:t>MX</w:t>
      </w:r>
      <w:r>
        <w:rPr>
          <w:szCs w:val="22"/>
        </w:rPr>
        <w:t xml:space="preserve"> group</w:t>
      </w:r>
      <w:r>
        <w:rPr>
          <w:szCs w:val="22"/>
        </w:rPr>
        <w:t xml:space="preserve"> (Tentative Selectee PN).</w:t>
      </w:r>
      <w:r>
        <w:rPr>
          <w:rStyle w:val="FootnoteReference"/>
          <w:szCs w:val="22"/>
        </w:rPr>
        <w:footnoteReference w:id="5"/>
      </w:r>
    </w:p>
    <w:p w:rsidR="006A30E0" w:rsidP="007E2248" w14:paraId="07EE1856" w14:textId="4D1D95B6">
      <w:pPr>
        <w:pStyle w:val="ListParagraph"/>
        <w:numPr>
          <w:ilvl w:val="0"/>
          <w:numId w:val="11"/>
        </w:numPr>
        <w:tabs>
          <w:tab w:val="left" w:pos="1"/>
          <w:tab w:val="left" w:pos="720"/>
          <w:tab w:val="left" w:pos="1440"/>
          <w:tab w:val="right" w:pos="9360"/>
        </w:tabs>
        <w:rPr>
          <w:szCs w:val="22"/>
        </w:rPr>
      </w:pPr>
      <w:r>
        <w:rPr>
          <w:szCs w:val="22"/>
        </w:rPr>
        <w:t xml:space="preserve">Upon release of a Tentative Selectee PN, up to three tied tentative selectee applicants </w:t>
      </w:r>
      <w:r w:rsidR="004D5BD8">
        <w:rPr>
          <w:szCs w:val="22"/>
        </w:rPr>
        <w:t xml:space="preserve">in an MX group </w:t>
      </w:r>
      <w:r>
        <w:rPr>
          <w:szCs w:val="22"/>
        </w:rPr>
        <w:t xml:space="preserve">may file </w:t>
      </w:r>
      <w:r w:rsidR="00BB1FA4">
        <w:rPr>
          <w:szCs w:val="22"/>
        </w:rPr>
        <w:t xml:space="preserve">a </w:t>
      </w:r>
      <w:r>
        <w:rPr>
          <w:szCs w:val="22"/>
        </w:rPr>
        <w:t>voluntary time-share agreement.</w:t>
      </w:r>
      <w:r w:rsidR="007E2248">
        <w:rPr>
          <w:szCs w:val="22"/>
        </w:rPr>
        <w:t xml:space="preserve">  </w:t>
      </w:r>
    </w:p>
    <w:p w:rsidR="007E2248" w:rsidP="007E2248" w14:paraId="6D3310CD" w14:textId="3AFD74D2">
      <w:pPr>
        <w:pStyle w:val="ListParagraph"/>
        <w:numPr>
          <w:ilvl w:val="0"/>
          <w:numId w:val="11"/>
        </w:numPr>
        <w:tabs>
          <w:tab w:val="left" w:pos="1"/>
          <w:tab w:val="left" w:pos="720"/>
          <w:tab w:val="left" w:pos="1440"/>
          <w:tab w:val="right" w:pos="9360"/>
        </w:tabs>
        <w:rPr>
          <w:szCs w:val="22"/>
        </w:rPr>
      </w:pPr>
      <w:r>
        <w:rPr>
          <w:szCs w:val="22"/>
        </w:rPr>
        <w:t xml:space="preserve">The Bureau will analyze </w:t>
      </w:r>
      <w:r w:rsidR="006A30E0">
        <w:rPr>
          <w:szCs w:val="22"/>
        </w:rPr>
        <w:t xml:space="preserve">any </w:t>
      </w:r>
      <w:r>
        <w:rPr>
          <w:szCs w:val="22"/>
        </w:rPr>
        <w:t xml:space="preserve">petitions to deny filed against </w:t>
      </w:r>
      <w:r w:rsidR="008B53AB">
        <w:rPr>
          <w:szCs w:val="22"/>
        </w:rPr>
        <w:t>any singleton application or</w:t>
      </w:r>
      <w:r>
        <w:rPr>
          <w:szCs w:val="22"/>
        </w:rPr>
        <w:t xml:space="preserve"> tentative selectee</w:t>
      </w:r>
      <w:r w:rsidR="00364D77">
        <w:rPr>
          <w:szCs w:val="22"/>
        </w:rPr>
        <w:t xml:space="preserve"> application</w:t>
      </w:r>
      <w:r>
        <w:rPr>
          <w:szCs w:val="22"/>
        </w:rPr>
        <w:t xml:space="preserve">, and then either grant or dismiss that application. </w:t>
      </w:r>
      <w:r w:rsidR="00364D77">
        <w:rPr>
          <w:szCs w:val="22"/>
        </w:rPr>
        <w:t xml:space="preserve"> </w:t>
      </w:r>
      <w:r>
        <w:rPr>
          <w:szCs w:val="22"/>
        </w:rPr>
        <w:t>In certain cases, the Commission will identify a successor tentative selectee or selectees.  New tentative selectees also will be subject to petitions to deny.</w:t>
      </w:r>
    </w:p>
    <w:p w:rsidR="007E2248" w:rsidP="007E2248" w14:paraId="5B18774A" w14:textId="77777777">
      <w:pPr>
        <w:tabs>
          <w:tab w:val="left" w:pos="1"/>
          <w:tab w:val="left" w:pos="720"/>
          <w:tab w:val="left" w:pos="1440"/>
          <w:tab w:val="right" w:pos="9360"/>
        </w:tabs>
        <w:rPr>
          <w:szCs w:val="22"/>
        </w:rPr>
      </w:pPr>
    </w:p>
    <w:p w:rsidR="007E2248" w:rsidP="007E2248" w14:paraId="54A54499" w14:textId="025A1C75">
      <w:pPr>
        <w:tabs>
          <w:tab w:val="left" w:pos="1"/>
          <w:tab w:val="left" w:pos="720"/>
          <w:tab w:val="left" w:pos="1440"/>
          <w:tab w:val="right" w:pos="9360"/>
        </w:tabs>
        <w:rPr>
          <w:szCs w:val="22"/>
        </w:rPr>
      </w:pPr>
      <w:r>
        <w:rPr>
          <w:b/>
          <w:szCs w:val="22"/>
        </w:rPr>
        <w:tab/>
      </w:r>
      <w:r>
        <w:rPr>
          <w:b/>
          <w:szCs w:val="22"/>
        </w:rPr>
        <w:tab/>
      </w:r>
      <w:r>
        <w:rPr>
          <w:b/>
          <w:szCs w:val="22"/>
        </w:rPr>
        <w:t>Singleton Applications</w:t>
      </w:r>
      <w:r w:rsidR="007B641D">
        <w:rPr>
          <w:b/>
          <w:szCs w:val="22"/>
        </w:rPr>
        <w:t>.</w:t>
      </w:r>
      <w:r>
        <w:rPr>
          <w:b/>
          <w:szCs w:val="22"/>
        </w:rPr>
        <w:t xml:space="preserve">  </w:t>
      </w:r>
      <w:r>
        <w:rPr>
          <w:szCs w:val="22"/>
        </w:rPr>
        <w:t xml:space="preserve">The Bureau has identified </w:t>
      </w:r>
      <w:r w:rsidR="007041B6">
        <w:rPr>
          <w:szCs w:val="22"/>
        </w:rPr>
        <w:t>over</w:t>
      </w:r>
      <w:r>
        <w:rPr>
          <w:szCs w:val="22"/>
        </w:rPr>
        <w:t xml:space="preserve"> </w:t>
      </w:r>
      <w:r w:rsidRPr="0014214E" w:rsidR="007041B6">
        <w:rPr>
          <w:szCs w:val="22"/>
        </w:rPr>
        <w:t>700</w:t>
      </w:r>
      <w:r>
        <w:rPr>
          <w:szCs w:val="22"/>
        </w:rPr>
        <w:t xml:space="preserve"> technically acceptable LPFM </w:t>
      </w:r>
      <w:r w:rsidR="00D46761">
        <w:rPr>
          <w:szCs w:val="22"/>
        </w:rPr>
        <w:t>A</w:t>
      </w:r>
      <w:r>
        <w:rPr>
          <w:szCs w:val="22"/>
        </w:rPr>
        <w:t xml:space="preserve">pplications which are not in conflict with any other application, </w:t>
      </w:r>
      <w:r>
        <w:rPr>
          <w:i/>
          <w:szCs w:val="22"/>
        </w:rPr>
        <w:t>i.e.</w:t>
      </w:r>
      <w:r>
        <w:rPr>
          <w:szCs w:val="22"/>
        </w:rPr>
        <w:t xml:space="preserve">, singleton applications.  The staff has </w:t>
      </w:r>
      <w:r w:rsidR="000C3EE0">
        <w:rPr>
          <w:szCs w:val="22"/>
        </w:rPr>
        <w:t xml:space="preserve">put these applications on Public Notice announcing them as “accepted for filing.” </w:t>
      </w:r>
      <w:r>
        <w:rPr>
          <w:szCs w:val="22"/>
        </w:rPr>
        <w:t xml:space="preserve"> The daily </w:t>
      </w:r>
      <w:r w:rsidR="00FD4B6D">
        <w:rPr>
          <w:szCs w:val="22"/>
        </w:rPr>
        <w:t xml:space="preserve">LMS </w:t>
      </w:r>
      <w:r>
        <w:rPr>
          <w:szCs w:val="22"/>
        </w:rPr>
        <w:t>Applications Public Notice announces this action and starts the 30-day period for the filing of petitions to deny (</w:t>
      </w:r>
      <w:r w:rsidR="004D5BD8">
        <w:rPr>
          <w:szCs w:val="22"/>
        </w:rPr>
        <w:t>explained</w:t>
      </w:r>
      <w:r>
        <w:rPr>
          <w:szCs w:val="22"/>
        </w:rPr>
        <w:t xml:space="preserve"> below).  These notices can be found in the Commission’s </w:t>
      </w:r>
      <w:r>
        <w:rPr>
          <w:i/>
          <w:szCs w:val="22"/>
        </w:rPr>
        <w:t>Daily Digest</w:t>
      </w:r>
      <w:r>
        <w:rPr>
          <w:szCs w:val="22"/>
        </w:rPr>
        <w:t xml:space="preserve">, available at </w:t>
      </w:r>
      <w:hyperlink r:id="rId5" w:history="1">
        <w:r w:rsidRPr="00563952" w:rsidR="007041B6">
          <w:rPr>
            <w:rStyle w:val="Hyperlink"/>
            <w:szCs w:val="22"/>
          </w:rPr>
          <w:t>http://www.fcc.gov/edocs/daily-digest</w:t>
        </w:r>
      </w:hyperlink>
      <w:r w:rsidR="009249E1">
        <w:rPr>
          <w:rStyle w:val="Hyperlink"/>
          <w:szCs w:val="22"/>
        </w:rPr>
        <w:t>.</w:t>
      </w:r>
      <w:r>
        <w:rPr>
          <w:rStyle w:val="FootnoteReference"/>
          <w:szCs w:val="22"/>
          <w:u w:val="single"/>
        </w:rPr>
        <w:footnoteReference w:id="6"/>
      </w:r>
      <w:r>
        <w:rPr>
          <w:szCs w:val="22"/>
        </w:rPr>
        <w:t xml:space="preserve"> </w:t>
      </w:r>
    </w:p>
    <w:p w:rsidR="007E2248" w:rsidP="007E2248" w14:paraId="63457EF1" w14:textId="01F133F7">
      <w:pPr>
        <w:tabs>
          <w:tab w:val="left" w:pos="1"/>
          <w:tab w:val="left" w:pos="720"/>
          <w:tab w:val="left" w:pos="1440"/>
          <w:tab w:val="right" w:pos="9360"/>
        </w:tabs>
        <w:rPr>
          <w:b/>
          <w:szCs w:val="22"/>
        </w:rPr>
      </w:pPr>
      <w:r>
        <w:rPr>
          <w:b/>
          <w:szCs w:val="22"/>
        </w:rPr>
        <w:tab/>
      </w:r>
    </w:p>
    <w:p w:rsidR="007E2248" w:rsidP="007E2248" w14:paraId="7C23C9D3" w14:textId="479737F2">
      <w:pPr>
        <w:tabs>
          <w:tab w:val="left" w:pos="1"/>
          <w:tab w:val="left" w:pos="720"/>
          <w:tab w:val="left" w:pos="1440"/>
          <w:tab w:val="right" w:pos="9360"/>
        </w:tabs>
        <w:rPr>
          <w:szCs w:val="22"/>
        </w:rPr>
      </w:pPr>
      <w:r>
        <w:rPr>
          <w:b/>
          <w:szCs w:val="22"/>
        </w:rPr>
        <w:tab/>
      </w:r>
      <w:r>
        <w:rPr>
          <w:b/>
          <w:szCs w:val="22"/>
        </w:rPr>
        <w:tab/>
        <w:t xml:space="preserve">Mutually Exclusive Applications.  </w:t>
      </w:r>
      <w:r>
        <w:rPr>
          <w:szCs w:val="22"/>
        </w:rPr>
        <w:t>When the distance between two window applications does not meet the minimum distance separation requirements specified in</w:t>
      </w:r>
      <w:r w:rsidR="00336075">
        <w:rPr>
          <w:szCs w:val="22"/>
        </w:rPr>
        <w:t xml:space="preserve"> section 73.807 of the Commission’s rules</w:t>
      </w:r>
      <w:r>
        <w:rPr>
          <w:szCs w:val="22"/>
        </w:rPr>
        <w:t>,</w:t>
      </w:r>
      <w:r>
        <w:rPr>
          <w:rStyle w:val="FootnoteReference"/>
          <w:szCs w:val="22"/>
        </w:rPr>
        <w:footnoteReference w:id="7"/>
      </w:r>
      <w:r>
        <w:rPr>
          <w:szCs w:val="22"/>
        </w:rPr>
        <w:t xml:space="preserve"> the applications are treated as mutually exclusive (MX).  An MX group consists of all applications which are MX to at least one other application in the group.  </w:t>
      </w:r>
      <w:r w:rsidR="00FB2C9A">
        <w:rPr>
          <w:szCs w:val="22"/>
        </w:rPr>
        <w:t xml:space="preserve">The </w:t>
      </w:r>
      <w:r w:rsidR="004C1045">
        <w:rPr>
          <w:szCs w:val="22"/>
        </w:rPr>
        <w:t>Bureau</w:t>
      </w:r>
      <w:r w:rsidR="00FB2C9A">
        <w:rPr>
          <w:szCs w:val="22"/>
        </w:rPr>
        <w:t xml:space="preserve"> will identify </w:t>
      </w:r>
      <w:r>
        <w:rPr>
          <w:szCs w:val="22"/>
        </w:rPr>
        <w:t xml:space="preserve">MX applications in </w:t>
      </w:r>
      <w:r w:rsidR="00B903B3">
        <w:rPr>
          <w:szCs w:val="22"/>
        </w:rPr>
        <w:t xml:space="preserve">subsequent </w:t>
      </w:r>
      <w:r>
        <w:rPr>
          <w:szCs w:val="22"/>
        </w:rPr>
        <w:t>MX Group PN</w:t>
      </w:r>
      <w:r w:rsidR="005F3781">
        <w:rPr>
          <w:szCs w:val="22"/>
        </w:rPr>
        <w:t>s</w:t>
      </w:r>
      <w:r>
        <w:rPr>
          <w:szCs w:val="22"/>
        </w:rPr>
        <w:t xml:space="preserve">.  MX applicants may communicate with each other </w:t>
      </w:r>
      <w:r w:rsidRPr="00596D03">
        <w:rPr>
          <w:szCs w:val="22"/>
        </w:rPr>
        <w:t>at any time</w:t>
      </w:r>
      <w:r>
        <w:rPr>
          <w:szCs w:val="22"/>
        </w:rPr>
        <w:t xml:space="preserve"> before or after the release of the MX Group PN to explore options for resolving application conflicts through settlements</w:t>
      </w:r>
      <w:r w:rsidR="004D5BD8">
        <w:rPr>
          <w:szCs w:val="22"/>
        </w:rPr>
        <w:t xml:space="preserve">, </w:t>
      </w:r>
      <w:r>
        <w:rPr>
          <w:szCs w:val="22"/>
        </w:rPr>
        <w:t>technical amendments</w:t>
      </w:r>
      <w:r w:rsidR="004D5BD8">
        <w:rPr>
          <w:szCs w:val="22"/>
        </w:rPr>
        <w:t>, and voluntary time-share agreements</w:t>
      </w:r>
      <w:r>
        <w:rPr>
          <w:szCs w:val="22"/>
        </w:rPr>
        <w:t xml:space="preserve"> (see below).  </w:t>
      </w:r>
    </w:p>
    <w:p w:rsidR="00071B0E" w:rsidP="00905169" w14:paraId="456A256B" w14:textId="60123383">
      <w:pPr>
        <w:tabs>
          <w:tab w:val="left" w:pos="1"/>
          <w:tab w:val="left" w:pos="7537"/>
        </w:tabs>
        <w:rPr>
          <w:b/>
          <w:szCs w:val="22"/>
        </w:rPr>
      </w:pPr>
      <w:r>
        <w:rPr>
          <w:b/>
          <w:szCs w:val="22"/>
        </w:rPr>
        <w:tab/>
      </w:r>
      <w:r>
        <w:rPr>
          <w:b/>
          <w:szCs w:val="22"/>
        </w:rPr>
        <w:tab/>
      </w:r>
      <w:r>
        <w:rPr>
          <w:b/>
          <w:szCs w:val="22"/>
        </w:rPr>
        <w:tab/>
      </w:r>
    </w:p>
    <w:p w:rsidR="00071B0E" w:rsidP="007E2248" w14:paraId="42437103" w14:textId="06D64737">
      <w:pPr>
        <w:tabs>
          <w:tab w:val="left" w:pos="1"/>
          <w:tab w:val="left" w:pos="720"/>
          <w:tab w:val="left" w:pos="1440"/>
          <w:tab w:val="right" w:pos="9360"/>
        </w:tabs>
        <w:rPr>
          <w:b/>
          <w:szCs w:val="22"/>
        </w:rPr>
      </w:pPr>
      <w:r>
        <w:rPr>
          <w:b/>
          <w:szCs w:val="22"/>
        </w:rPr>
        <w:tab/>
      </w:r>
      <w:r>
        <w:rPr>
          <w:b/>
          <w:szCs w:val="22"/>
        </w:rPr>
        <w:tab/>
      </w:r>
      <w:r>
        <w:rPr>
          <w:b/>
          <w:szCs w:val="22"/>
        </w:rPr>
        <w:t>Resolution of Application Conflicts</w:t>
      </w:r>
      <w:r w:rsidR="007B641D">
        <w:rPr>
          <w:b/>
          <w:szCs w:val="22"/>
        </w:rPr>
        <w:t>.</w:t>
      </w:r>
      <w:r>
        <w:rPr>
          <w:b/>
          <w:szCs w:val="22"/>
        </w:rPr>
        <w:t xml:space="preserve">  </w:t>
      </w:r>
      <w:r w:rsidR="00021538">
        <w:rPr>
          <w:bCs/>
          <w:szCs w:val="22"/>
        </w:rPr>
        <w:t>Upon</w:t>
      </w:r>
      <w:r>
        <w:rPr>
          <w:bCs/>
          <w:szCs w:val="22"/>
        </w:rPr>
        <w:t xml:space="preserve"> the release of an MX Group PN, applicants will have a 60-day period to resolve conflicts through two methods - settlement agreements or technical amendments.</w:t>
      </w:r>
      <w:r>
        <w:rPr>
          <w:rStyle w:val="FootnoteReference"/>
          <w:bCs/>
          <w:szCs w:val="22"/>
        </w:rPr>
        <w:footnoteReference w:id="8"/>
      </w:r>
      <w:r w:rsidR="00021538">
        <w:rPr>
          <w:bCs/>
          <w:szCs w:val="22"/>
        </w:rPr>
        <w:t xml:space="preserve">  </w:t>
      </w:r>
      <w:r w:rsidRPr="005D6879" w:rsidR="00021538">
        <w:rPr>
          <w:szCs w:val="22"/>
        </w:rPr>
        <w:t>Th</w:t>
      </w:r>
      <w:r w:rsidR="00021538">
        <w:rPr>
          <w:szCs w:val="22"/>
        </w:rPr>
        <w:t>e</w:t>
      </w:r>
      <w:r w:rsidRPr="005D6879" w:rsidR="00021538">
        <w:rPr>
          <w:szCs w:val="22"/>
        </w:rPr>
        <w:t xml:space="preserve"> filing opportunity </w:t>
      </w:r>
      <w:r w:rsidR="00021538">
        <w:rPr>
          <w:szCs w:val="22"/>
        </w:rPr>
        <w:t>will be</w:t>
      </w:r>
      <w:r w:rsidRPr="005D6879" w:rsidR="00021538">
        <w:rPr>
          <w:szCs w:val="22"/>
        </w:rPr>
        <w:t xml:space="preserve"> limited to settlement agreements, which may include requests to dismiss applications filed in the window, and/or engineering amendments that resolve all technical conflicts between at least one application and all other </w:t>
      </w:r>
      <w:r w:rsidR="00021538">
        <w:rPr>
          <w:szCs w:val="22"/>
        </w:rPr>
        <w:t xml:space="preserve">MX </w:t>
      </w:r>
      <w:r w:rsidRPr="005D6879" w:rsidR="00021538">
        <w:rPr>
          <w:szCs w:val="22"/>
        </w:rPr>
        <w:t>applications filed in the window</w:t>
      </w:r>
      <w:r w:rsidR="000C1E73">
        <w:rPr>
          <w:szCs w:val="22"/>
        </w:rPr>
        <w:t xml:space="preserve">.  </w:t>
      </w:r>
      <w:r w:rsidR="000C1E73">
        <w:rPr>
          <w:rStyle w:val="documentbody1"/>
          <w:rFonts w:ascii="Times New Roman" w:hAnsi="Times New Roman"/>
          <w:color w:val="000000"/>
          <w:sz w:val="22"/>
          <w:szCs w:val="22"/>
        </w:rPr>
        <w:t xml:space="preserve">Applicants in MX groups, which do not submit settlements or technical amendments during the allotted period, will proceed to a comparative </w:t>
      </w:r>
      <w:r w:rsidR="00CF782A">
        <w:rPr>
          <w:rStyle w:val="documentbody1"/>
          <w:rFonts w:ascii="Times New Roman" w:hAnsi="Times New Roman"/>
          <w:color w:val="000000"/>
          <w:sz w:val="22"/>
          <w:szCs w:val="22"/>
        </w:rPr>
        <w:t xml:space="preserve">point </w:t>
      </w:r>
      <w:r w:rsidR="000C1E73">
        <w:rPr>
          <w:rStyle w:val="documentbody1"/>
          <w:rFonts w:ascii="Times New Roman" w:hAnsi="Times New Roman"/>
          <w:color w:val="000000"/>
          <w:sz w:val="22"/>
          <w:szCs w:val="22"/>
        </w:rPr>
        <w:t>analysis.</w:t>
      </w:r>
      <w:r>
        <w:rPr>
          <w:rStyle w:val="FootnoteReference"/>
          <w:szCs w:val="22"/>
        </w:rPr>
        <w:footnoteReference w:id="9"/>
      </w:r>
      <w:r>
        <w:rPr>
          <w:b/>
          <w:szCs w:val="22"/>
        </w:rPr>
        <w:t xml:space="preserve">  </w:t>
      </w:r>
    </w:p>
    <w:p w:rsidR="00071B0E" w:rsidP="007E2248" w14:paraId="3B16959E" w14:textId="77777777">
      <w:pPr>
        <w:tabs>
          <w:tab w:val="left" w:pos="1"/>
          <w:tab w:val="left" w:pos="720"/>
          <w:tab w:val="left" w:pos="1440"/>
          <w:tab w:val="right" w:pos="9360"/>
        </w:tabs>
        <w:rPr>
          <w:b/>
          <w:szCs w:val="22"/>
        </w:rPr>
      </w:pPr>
    </w:p>
    <w:p w:rsidR="008E0D95" w:rsidRPr="00CF782A" w:rsidP="00CF782A" w14:paraId="5B566166" w14:textId="0F4A2BF0">
      <w:pPr>
        <w:ind w:firstLine="720"/>
        <w:rPr>
          <w:b/>
          <w:szCs w:val="22"/>
        </w:rPr>
      </w:pPr>
      <w:r>
        <w:rPr>
          <w:rStyle w:val="documentbody1"/>
          <w:rFonts w:ascii="Times New Roman" w:hAnsi="Times New Roman"/>
          <w:color w:val="000000"/>
          <w:sz w:val="22"/>
          <w:szCs w:val="22"/>
          <w:u w:val="single"/>
        </w:rPr>
        <w:t>Settlement Agreements.</w:t>
      </w:r>
      <w:r>
        <w:rPr>
          <w:rStyle w:val="documentbody1"/>
          <w:rFonts w:ascii="Times New Roman" w:hAnsi="Times New Roman"/>
          <w:color w:val="000000"/>
          <w:sz w:val="22"/>
          <w:szCs w:val="22"/>
        </w:rPr>
        <w:t xml:space="preserve">  </w:t>
      </w:r>
      <w:r w:rsidRPr="007E2248">
        <w:rPr>
          <w:rStyle w:val="documentbody1"/>
          <w:rFonts w:ascii="Times New Roman" w:hAnsi="Times New Roman"/>
          <w:color w:val="000000"/>
          <w:sz w:val="22"/>
          <w:szCs w:val="22"/>
        </w:rPr>
        <w:t>A settlement must propose the grant of at least one technically acceptable application within a group of mutually exclusive applications and may not create any new application conflicts.</w:t>
      </w:r>
      <w:r>
        <w:rPr>
          <w:rStyle w:val="FootnoteReference"/>
          <w:color w:val="000000"/>
          <w:szCs w:val="22"/>
        </w:rPr>
        <w:footnoteReference w:id="10"/>
      </w:r>
      <w:r w:rsidRPr="007E2248">
        <w:rPr>
          <w:rStyle w:val="documentbody1"/>
          <w:rFonts w:ascii="Times New Roman" w:hAnsi="Times New Roman"/>
          <w:color w:val="000000"/>
          <w:sz w:val="22"/>
          <w:szCs w:val="22"/>
        </w:rPr>
        <w:t xml:space="preserve">  </w:t>
      </w:r>
      <w:r w:rsidRPr="005D6879">
        <w:rPr>
          <w:rStyle w:val="documentbody1"/>
          <w:rFonts w:ascii="Times New Roman" w:hAnsi="Times New Roman"/>
          <w:color w:val="000000"/>
          <w:sz w:val="22"/>
          <w:szCs w:val="22"/>
        </w:rPr>
        <w:t>Universal settlements</w:t>
      </w:r>
      <w:r>
        <w:rPr>
          <w:rStyle w:val="documentbody1"/>
          <w:rFonts w:ascii="Times New Roman" w:hAnsi="Times New Roman"/>
          <w:color w:val="000000"/>
          <w:sz w:val="22"/>
          <w:szCs w:val="22"/>
        </w:rPr>
        <w:t xml:space="preserve">, which resolve the claims of all applications within an MX </w:t>
      </w:r>
      <w:r>
        <w:rPr>
          <w:rStyle w:val="documentbody1"/>
          <w:rFonts w:ascii="Times New Roman" w:hAnsi="Times New Roman"/>
          <w:color w:val="000000"/>
          <w:sz w:val="22"/>
          <w:szCs w:val="22"/>
        </w:rPr>
        <w:t>group,</w:t>
      </w:r>
      <w:r w:rsidRPr="005D6879">
        <w:rPr>
          <w:rStyle w:val="documentbody1"/>
          <w:rFonts w:ascii="Times New Roman" w:hAnsi="Times New Roman"/>
          <w:color w:val="000000"/>
          <w:sz w:val="22"/>
          <w:szCs w:val="22"/>
        </w:rPr>
        <w:t xml:space="preserve"> are encouraged</w:t>
      </w:r>
      <w:r>
        <w:rPr>
          <w:rStyle w:val="documentbody1"/>
          <w:rFonts w:ascii="Times New Roman" w:hAnsi="Times New Roman"/>
          <w:color w:val="000000"/>
          <w:sz w:val="22"/>
          <w:szCs w:val="22"/>
        </w:rPr>
        <w:t>,</w:t>
      </w:r>
      <w:r w:rsidRPr="005D6879">
        <w:rPr>
          <w:rStyle w:val="documentbody1"/>
          <w:rFonts w:ascii="Times New Roman" w:hAnsi="Times New Roman"/>
          <w:color w:val="000000"/>
          <w:sz w:val="22"/>
          <w:szCs w:val="22"/>
        </w:rPr>
        <w:t xml:space="preserve"> but not required.</w:t>
      </w:r>
      <w:r>
        <w:rPr>
          <w:rStyle w:val="documentbody1"/>
          <w:rFonts w:ascii="Times New Roman" w:hAnsi="Times New Roman"/>
          <w:color w:val="000000"/>
          <w:sz w:val="22"/>
          <w:szCs w:val="22"/>
        </w:rPr>
        <w:t xml:space="preserve">  </w:t>
      </w:r>
      <w:r w:rsidRPr="007E2248">
        <w:rPr>
          <w:color w:val="000000"/>
          <w:szCs w:val="22"/>
        </w:rPr>
        <w:t xml:space="preserve">Applicants entering into agreements to procure the removal of a conflict between applications by amendment or dismissal of an application must ensure that their settlement agreements comply with the pertinent requirements of </w:t>
      </w:r>
      <w:r>
        <w:rPr>
          <w:color w:val="000000"/>
          <w:szCs w:val="22"/>
        </w:rPr>
        <w:t>s</w:t>
      </w:r>
      <w:r w:rsidRPr="007E2248">
        <w:rPr>
          <w:color w:val="000000"/>
          <w:szCs w:val="22"/>
        </w:rPr>
        <w:t xml:space="preserve">ection 73.3525 of the Commission’s </w:t>
      </w:r>
      <w:r>
        <w:rPr>
          <w:color w:val="000000"/>
          <w:szCs w:val="22"/>
        </w:rPr>
        <w:t>r</w:t>
      </w:r>
      <w:r w:rsidRPr="007E2248">
        <w:rPr>
          <w:color w:val="000000"/>
          <w:szCs w:val="22"/>
        </w:rPr>
        <w:t>ules, including reimbursement restrictions.</w:t>
      </w:r>
      <w:r>
        <w:rPr>
          <w:rStyle w:val="FootnoteReference"/>
          <w:color w:val="000000"/>
          <w:szCs w:val="22"/>
        </w:rPr>
        <w:footnoteReference w:id="11"/>
      </w:r>
      <w:r w:rsidRPr="007E2248">
        <w:rPr>
          <w:color w:val="000000"/>
          <w:szCs w:val="22"/>
        </w:rPr>
        <w:t xml:space="preserve">  Specifically, parties must file with the </w:t>
      </w:r>
      <w:r w:rsidR="00F07CF6">
        <w:rPr>
          <w:color w:val="000000"/>
          <w:szCs w:val="22"/>
        </w:rPr>
        <w:t>Bureau:</w:t>
      </w:r>
      <w:r w:rsidRPr="005D6879">
        <w:rPr>
          <w:rStyle w:val="documentbody1"/>
          <w:rFonts w:ascii="Times New Roman" w:hAnsi="Times New Roman"/>
          <w:color w:val="000000"/>
          <w:sz w:val="22"/>
          <w:szCs w:val="22"/>
        </w:rPr>
        <w:t xml:space="preserve">     </w:t>
      </w:r>
    </w:p>
    <w:p w:rsidR="008E0D95" w:rsidRPr="005D6879" w:rsidP="008E0D95" w14:paraId="1BE35E19" w14:textId="77777777">
      <w:pPr>
        <w:rPr>
          <w:color w:val="000000"/>
          <w:szCs w:val="22"/>
        </w:rPr>
      </w:pPr>
      <w:bookmarkStart w:id="0" w:name="sp_1511_11721"/>
      <w:bookmarkStart w:id="1" w:name="SDU_11721"/>
      <w:bookmarkStart w:id="2" w:name="citeas((Cite_as:_21_F.C.C.R._11720,_*117"/>
      <w:bookmarkEnd w:id="0"/>
      <w:bookmarkEnd w:id="1"/>
      <w:bookmarkEnd w:id="2"/>
    </w:p>
    <w:p w:rsidR="008E0D95" w:rsidRPr="005D6879" w:rsidP="008E0D95" w14:paraId="7C9DA8F7" w14:textId="77777777">
      <w:pPr>
        <w:ind w:firstLine="720"/>
        <w:rPr>
          <w:szCs w:val="22"/>
        </w:rPr>
      </w:pPr>
      <w:r w:rsidRPr="005D6879">
        <w:rPr>
          <w:color w:val="000000"/>
          <w:szCs w:val="22"/>
        </w:rPr>
        <w:t>1.  A copy of their settlement agreement and any ancillary agreement(s);</w:t>
      </w:r>
    </w:p>
    <w:p w:rsidR="008E0D95" w:rsidRPr="005D6879" w:rsidP="008E0D95" w14:paraId="4767FB4C" w14:textId="77777777">
      <w:pPr>
        <w:ind w:firstLine="720"/>
        <w:rPr>
          <w:color w:val="000000"/>
          <w:szCs w:val="22"/>
        </w:rPr>
      </w:pPr>
      <w:r w:rsidRPr="005D6879">
        <w:rPr>
          <w:color w:val="000000"/>
          <w:szCs w:val="22"/>
        </w:rPr>
        <w:t>2.  A joint request for approval of such agreement; and</w:t>
      </w:r>
    </w:p>
    <w:p w:rsidR="008E0D95" w:rsidRPr="005D6879" w:rsidP="008E0D95" w14:paraId="7B207E47" w14:textId="77777777">
      <w:pPr>
        <w:ind w:firstLine="720"/>
        <w:rPr>
          <w:color w:val="000000"/>
          <w:szCs w:val="22"/>
        </w:rPr>
      </w:pPr>
      <w:r w:rsidRPr="005D6879">
        <w:rPr>
          <w:color w:val="000000"/>
          <w:szCs w:val="22"/>
        </w:rPr>
        <w:t>3.  An affidavit of each party to the agreement setting forth:</w:t>
      </w:r>
    </w:p>
    <w:p w:rsidR="008E0D95" w:rsidRPr="005D6879" w:rsidP="008E0D95" w14:paraId="28996AAC" w14:textId="53189173">
      <w:pPr>
        <w:ind w:left="720" w:firstLine="720"/>
        <w:rPr>
          <w:color w:val="000000"/>
          <w:szCs w:val="22"/>
        </w:rPr>
      </w:pPr>
      <w:r w:rsidRPr="005D6879">
        <w:rPr>
          <w:color w:val="000000"/>
          <w:szCs w:val="22"/>
        </w:rPr>
        <w:t>(a) The reasons why  such agreement is in the public interest;</w:t>
      </w:r>
    </w:p>
    <w:p w:rsidR="008E0D95" w:rsidRPr="005D6879" w:rsidP="008E0D95" w14:paraId="209E0C26" w14:textId="77777777">
      <w:pPr>
        <w:ind w:left="1440"/>
        <w:rPr>
          <w:color w:val="000000"/>
          <w:szCs w:val="22"/>
        </w:rPr>
      </w:pPr>
      <w:r w:rsidRPr="005D6879">
        <w:rPr>
          <w:color w:val="000000"/>
          <w:szCs w:val="22"/>
        </w:rPr>
        <w:t>(b) A statement that its application was not filed for the purpose of reaching or carrying out such agreement;</w:t>
      </w:r>
    </w:p>
    <w:p w:rsidR="008E0D95" w:rsidRPr="005D6879" w:rsidP="008E0D95" w14:paraId="6A44C21A" w14:textId="77777777">
      <w:pPr>
        <w:ind w:left="1440"/>
        <w:rPr>
          <w:color w:val="000000"/>
          <w:szCs w:val="22"/>
        </w:rPr>
      </w:pPr>
      <w:r w:rsidRPr="005D6879">
        <w:rPr>
          <w:color w:val="000000"/>
          <w:szCs w:val="22"/>
        </w:rPr>
        <w:t>(c) A certification that neither the applicant nor its principals has received any money or other consideration in excess of the legitimate and prudent expenses of the applicant;</w:t>
      </w:r>
      <w:r>
        <w:rPr>
          <w:rStyle w:val="FootnoteReference"/>
          <w:color w:val="000000"/>
          <w:szCs w:val="22"/>
        </w:rPr>
        <w:footnoteReference w:id="12"/>
      </w:r>
    </w:p>
    <w:p w:rsidR="008E0D95" w:rsidRPr="005D6879" w:rsidP="008E0D95" w14:paraId="6AD75767" w14:textId="77777777">
      <w:pPr>
        <w:ind w:left="720" w:firstLine="720"/>
        <w:rPr>
          <w:color w:val="000000"/>
          <w:szCs w:val="22"/>
        </w:rPr>
      </w:pPr>
      <w:r w:rsidRPr="005D6879">
        <w:rPr>
          <w:color w:val="000000"/>
          <w:szCs w:val="22"/>
        </w:rPr>
        <w:t>(d) The exact nature and amount of any consideration paid or promised;</w:t>
      </w:r>
    </w:p>
    <w:p w:rsidR="008E0D95" w:rsidRPr="005D6879" w:rsidP="008E0D95" w14:paraId="62410333" w14:textId="77777777">
      <w:pPr>
        <w:ind w:left="720" w:firstLine="720"/>
        <w:rPr>
          <w:color w:val="000000"/>
          <w:szCs w:val="22"/>
        </w:rPr>
      </w:pPr>
      <w:r w:rsidRPr="005D6879">
        <w:rPr>
          <w:color w:val="000000"/>
          <w:szCs w:val="22"/>
        </w:rPr>
        <w:t>(e) An itemized accounting of the expenses for which it seeks reimbursement; and</w:t>
      </w:r>
    </w:p>
    <w:p w:rsidR="008E0D95" w:rsidRPr="005D6879" w:rsidP="008E0D95" w14:paraId="7324B43C" w14:textId="77777777">
      <w:pPr>
        <w:ind w:left="1440"/>
        <w:rPr>
          <w:color w:val="000000"/>
          <w:szCs w:val="22"/>
        </w:rPr>
      </w:pPr>
      <w:r w:rsidRPr="005D6879">
        <w:rPr>
          <w:color w:val="000000"/>
          <w:szCs w:val="22"/>
        </w:rPr>
        <w:t>(f) The terms of any oral agreement relating to the dismissal or withdrawal of its application.</w:t>
      </w:r>
      <w:r>
        <w:rPr>
          <w:rStyle w:val="FootnoteReference"/>
          <w:color w:val="000000"/>
          <w:szCs w:val="22"/>
        </w:rPr>
        <w:footnoteReference w:id="13"/>
      </w:r>
    </w:p>
    <w:p w:rsidR="00071B0E" w:rsidP="007E2248" w14:paraId="0AEF9724" w14:textId="77777777">
      <w:pPr>
        <w:tabs>
          <w:tab w:val="left" w:pos="1"/>
          <w:tab w:val="left" w:pos="720"/>
          <w:tab w:val="left" w:pos="1440"/>
          <w:tab w:val="right" w:pos="9360"/>
        </w:tabs>
        <w:rPr>
          <w:b/>
          <w:szCs w:val="22"/>
        </w:rPr>
      </w:pPr>
    </w:p>
    <w:p w:rsidR="005C666C" w:rsidRPr="007E2248" w:rsidP="005C666C" w14:paraId="29728770" w14:textId="2B5A0498">
      <w:pPr>
        <w:rPr>
          <w:rStyle w:val="documentbody1"/>
          <w:rFonts w:ascii="Times New Roman" w:hAnsi="Times New Roman"/>
          <w:color w:val="000000"/>
          <w:sz w:val="22"/>
          <w:szCs w:val="22"/>
        </w:rPr>
      </w:pPr>
      <w:r>
        <w:rPr>
          <w:szCs w:val="22"/>
        </w:rPr>
        <w:tab/>
      </w:r>
      <w:r w:rsidR="00907332">
        <w:rPr>
          <w:szCs w:val="22"/>
          <w:u w:val="single"/>
        </w:rPr>
        <w:t>Technical A</w:t>
      </w:r>
      <w:r>
        <w:rPr>
          <w:szCs w:val="22"/>
          <w:u w:val="single"/>
        </w:rPr>
        <w:t>mendments.</w:t>
      </w:r>
      <w:r>
        <w:rPr>
          <w:szCs w:val="22"/>
        </w:rPr>
        <w:t xml:space="preserve">  </w:t>
      </w:r>
      <w:r w:rsidRPr="005D6879" w:rsidR="00907332">
        <w:rPr>
          <w:szCs w:val="22"/>
        </w:rPr>
        <w:t xml:space="preserve">Acceptable technical amendments will resolve all conflicts between at least one application and all other applications </w:t>
      </w:r>
      <w:r>
        <w:rPr>
          <w:szCs w:val="22"/>
        </w:rPr>
        <w:t>in the same MX group</w:t>
      </w:r>
      <w:r w:rsidRPr="005D6879" w:rsidR="00907332">
        <w:rPr>
          <w:szCs w:val="22"/>
        </w:rPr>
        <w:t>.</w:t>
      </w:r>
      <w:r>
        <w:rPr>
          <w:rStyle w:val="FootnoteReference"/>
          <w:szCs w:val="22"/>
        </w:rPr>
        <w:footnoteReference w:id="14"/>
      </w:r>
      <w:r w:rsidRPr="005D6879" w:rsidR="00907332">
        <w:rPr>
          <w:szCs w:val="22"/>
        </w:rPr>
        <w:t xml:space="preserve">  </w:t>
      </w:r>
      <w:r w:rsidRPr="005D6879" w:rsidR="00907332">
        <w:rPr>
          <w:rStyle w:val="documentbody1"/>
          <w:rFonts w:ascii="Times New Roman" w:hAnsi="Times New Roman"/>
          <w:color w:val="000000"/>
          <w:sz w:val="22"/>
          <w:szCs w:val="22"/>
        </w:rPr>
        <w:t xml:space="preserve">Only minor engineering amendments, </w:t>
      </w:r>
      <w:r w:rsidR="00907332">
        <w:rPr>
          <w:rStyle w:val="documentbody1"/>
          <w:rFonts w:ascii="Times New Roman" w:hAnsi="Times New Roman"/>
          <w:color w:val="000000"/>
          <w:sz w:val="22"/>
          <w:szCs w:val="22"/>
        </w:rPr>
        <w:t xml:space="preserve">explained below, </w:t>
      </w:r>
      <w:r w:rsidR="00907332">
        <w:rPr>
          <w:rStyle w:val="documentbody1"/>
          <w:rFonts w:ascii="Times New Roman" w:hAnsi="Times New Roman"/>
          <w:iCs/>
          <w:color w:val="000000"/>
          <w:sz w:val="22"/>
          <w:szCs w:val="22"/>
        </w:rPr>
        <w:t>will be accepted during the 60-day settlement period.</w:t>
      </w:r>
      <w:r w:rsidRPr="005D6879" w:rsidR="00907332">
        <w:rPr>
          <w:rStyle w:val="documentbody1"/>
          <w:rFonts w:ascii="Times New Roman" w:hAnsi="Times New Roman"/>
          <w:color w:val="000000"/>
          <w:sz w:val="22"/>
          <w:szCs w:val="22"/>
        </w:rPr>
        <w:t xml:space="preserve">  Amended applications must specify rule-compliant facilities.  </w:t>
      </w:r>
      <w:r w:rsidRPr="007E2248">
        <w:rPr>
          <w:rStyle w:val="documentbody1"/>
          <w:rFonts w:ascii="Times New Roman" w:hAnsi="Times New Roman"/>
          <w:color w:val="000000"/>
          <w:sz w:val="22"/>
          <w:szCs w:val="22"/>
        </w:rPr>
        <w:t>Applicants filing technical amendments should carefully consider all legal, e.g., maintaining eligibility as a “local” applicant,</w:t>
      </w:r>
      <w:r>
        <w:rPr>
          <w:rStyle w:val="FootnoteReference"/>
          <w:color w:val="000000"/>
          <w:szCs w:val="22"/>
        </w:rPr>
        <w:footnoteReference w:id="15"/>
      </w:r>
      <w:r w:rsidRPr="007E2248">
        <w:rPr>
          <w:rStyle w:val="documentbody1"/>
          <w:rFonts w:ascii="Times New Roman" w:hAnsi="Times New Roman"/>
          <w:color w:val="000000"/>
          <w:sz w:val="22"/>
          <w:szCs w:val="22"/>
        </w:rPr>
        <w:t xml:space="preserve"> and technical requirements.  </w:t>
      </w:r>
      <w:r w:rsidRPr="00E96BE8" w:rsidR="00907332">
        <w:t>Applications that are amended and create any new application conflicts, or that worsen any existing conflicts (such as increasing existing overlap)</w:t>
      </w:r>
      <w:r w:rsidR="00907332">
        <w:t>,</w:t>
      </w:r>
      <w:r w:rsidRPr="00E96BE8" w:rsidR="00907332">
        <w:t xml:space="preserve"> will be dismissed.</w:t>
      </w:r>
      <w:r>
        <w:t xml:space="preserve">  </w:t>
      </w:r>
      <w:r w:rsidRPr="007E2248">
        <w:rPr>
          <w:rStyle w:val="documentbody1"/>
          <w:rFonts w:ascii="Times New Roman" w:hAnsi="Times New Roman"/>
          <w:color w:val="000000"/>
          <w:sz w:val="22"/>
          <w:szCs w:val="22"/>
        </w:rPr>
        <w:t xml:space="preserve">Applicants may file technical amendments as part of a settlement agreement or unilaterally.  </w:t>
      </w:r>
    </w:p>
    <w:p w:rsidR="00907332" w:rsidRPr="005C666C" w:rsidP="005C666C" w14:paraId="769FD589" w14:textId="67447F53">
      <w:pPr>
        <w:rPr>
          <w:color w:val="000000"/>
          <w:szCs w:val="22"/>
        </w:rPr>
      </w:pPr>
      <w:r>
        <w:rPr>
          <w:rStyle w:val="documentbody1"/>
          <w:color w:val="000000"/>
        </w:rPr>
        <w:t xml:space="preserve">  </w:t>
      </w:r>
    </w:p>
    <w:p w:rsidR="007E2248" w:rsidP="007E2248" w14:paraId="73FBBE3D" w14:textId="4A93F7EB">
      <w:pPr>
        <w:tabs>
          <w:tab w:val="left" w:pos="1"/>
          <w:tab w:val="left" w:pos="720"/>
          <w:tab w:val="left" w:pos="1440"/>
          <w:tab w:val="right" w:pos="9360"/>
        </w:tabs>
        <w:rPr>
          <w:szCs w:val="22"/>
        </w:rPr>
      </w:pPr>
      <w:r>
        <w:rPr>
          <w:szCs w:val="22"/>
        </w:rPr>
        <w:tab/>
      </w:r>
      <w:r>
        <w:rPr>
          <w:szCs w:val="22"/>
        </w:rPr>
        <w:tab/>
      </w:r>
      <w:r>
        <w:rPr>
          <w:i/>
          <w:iCs/>
          <w:szCs w:val="22"/>
        </w:rPr>
        <w:t xml:space="preserve">Minor Amendments.  </w:t>
      </w:r>
      <w:r w:rsidR="00A6442D">
        <w:rPr>
          <w:szCs w:val="22"/>
        </w:rPr>
        <w:t xml:space="preserve">With the exclusion of </w:t>
      </w:r>
      <w:r w:rsidR="005B0EAF">
        <w:rPr>
          <w:szCs w:val="22"/>
        </w:rPr>
        <w:t>prohibited amendments</w:t>
      </w:r>
      <w:r w:rsidR="002E5D86">
        <w:rPr>
          <w:szCs w:val="22"/>
        </w:rPr>
        <w:t xml:space="preserve"> mentioned below, </w:t>
      </w:r>
      <w:r w:rsidR="00E8665C">
        <w:rPr>
          <w:szCs w:val="22"/>
        </w:rPr>
        <w:t xml:space="preserve">starting at </w:t>
      </w:r>
      <w:r w:rsidRPr="0014214E" w:rsidR="00E8665C">
        <w:rPr>
          <w:szCs w:val="22"/>
        </w:rPr>
        <w:t>6 pm EST</w:t>
      </w:r>
      <w:r w:rsidRPr="0014214E" w:rsidR="00382503">
        <w:rPr>
          <w:szCs w:val="22"/>
        </w:rPr>
        <w:t>, January 31, 2024</w:t>
      </w:r>
      <w:r w:rsidR="00382503">
        <w:rPr>
          <w:szCs w:val="22"/>
        </w:rPr>
        <w:t>,</w:t>
      </w:r>
      <w:r w:rsidR="00E8665C">
        <w:rPr>
          <w:szCs w:val="22"/>
        </w:rPr>
        <w:t xml:space="preserve"> </w:t>
      </w:r>
      <w:r w:rsidR="00756F16">
        <w:rPr>
          <w:szCs w:val="22"/>
        </w:rPr>
        <w:t>all pending LPFM applica</w:t>
      </w:r>
      <w:r w:rsidR="00F07CF6">
        <w:rPr>
          <w:szCs w:val="22"/>
        </w:rPr>
        <w:t>n</w:t>
      </w:r>
      <w:r w:rsidR="00756F16">
        <w:rPr>
          <w:szCs w:val="22"/>
        </w:rPr>
        <w:t>ts</w:t>
      </w:r>
      <w:r w:rsidR="005B0EAF">
        <w:rPr>
          <w:szCs w:val="22"/>
        </w:rPr>
        <w:t xml:space="preserve"> may </w:t>
      </w:r>
      <w:r>
        <w:rPr>
          <w:szCs w:val="22"/>
        </w:rPr>
        <w:t xml:space="preserve">only file “minor” amendments, which include: (1) site relocations of </w:t>
      </w:r>
      <w:r w:rsidR="008E220E">
        <w:rPr>
          <w:szCs w:val="22"/>
        </w:rPr>
        <w:t xml:space="preserve">11.2 </w:t>
      </w:r>
      <w:r>
        <w:rPr>
          <w:szCs w:val="22"/>
        </w:rPr>
        <w:t>kilometers or less</w:t>
      </w:r>
      <w:r w:rsidR="000C3EE0">
        <w:rPr>
          <w:szCs w:val="22"/>
        </w:rPr>
        <w:t xml:space="preserve"> OR site relocations</w:t>
      </w:r>
      <w:r w:rsidR="008F22EC">
        <w:rPr>
          <w:szCs w:val="22"/>
        </w:rPr>
        <w:t xml:space="preserve"> that involve overlap between the 60 dBu service contours</w:t>
      </w:r>
      <w:r>
        <w:rPr>
          <w:szCs w:val="22"/>
        </w:rPr>
        <w:t>;</w:t>
      </w:r>
      <w:r>
        <w:rPr>
          <w:rStyle w:val="FootnoteReference"/>
          <w:szCs w:val="22"/>
        </w:rPr>
        <w:footnoteReference w:id="16"/>
      </w:r>
      <w:r>
        <w:rPr>
          <w:szCs w:val="22"/>
        </w:rPr>
        <w:t xml:space="preserve"> (2) </w:t>
      </w:r>
      <w:r w:rsidR="008E220E">
        <w:rPr>
          <w:szCs w:val="22"/>
        </w:rPr>
        <w:t xml:space="preserve"> </w:t>
      </w:r>
      <w:r>
        <w:rPr>
          <w:szCs w:val="22"/>
        </w:rPr>
        <w:t xml:space="preserve">channel changes of no more than +/- three channels or to an intermediate frequency (+/- 53 or 54) channel; (3) changes in general or legal information; </w:t>
      </w:r>
      <w:r w:rsidR="00D0000B">
        <w:rPr>
          <w:szCs w:val="22"/>
        </w:rPr>
        <w:t xml:space="preserve">and </w:t>
      </w:r>
      <w:r>
        <w:rPr>
          <w:szCs w:val="22"/>
        </w:rPr>
        <w:t>(</w:t>
      </w:r>
      <w:r w:rsidR="00D0000B">
        <w:rPr>
          <w:szCs w:val="22"/>
        </w:rPr>
        <w:t>4</w:t>
      </w:r>
      <w:r>
        <w:rPr>
          <w:szCs w:val="22"/>
        </w:rPr>
        <w:t>) changes in ownership where the original parties retain more than 50 percent ownership in the application as originally filed</w:t>
      </w:r>
      <w:r w:rsidR="00D0000B">
        <w:rPr>
          <w:szCs w:val="22"/>
        </w:rPr>
        <w:t xml:space="preserve">, and changes in ownership where the original parties retain 50 percent or less ownership, </w:t>
      </w:r>
      <w:r w:rsidR="00D0000B">
        <w:rPr>
          <w:szCs w:val="22"/>
        </w:rPr>
        <w:t>provided the change is gradual and/or there is no evidence of a takeover concern or significant effect on the organization’s mission</w:t>
      </w:r>
      <w:r>
        <w:rPr>
          <w:szCs w:val="22"/>
        </w:rPr>
        <w:t>.</w:t>
      </w:r>
      <w:r>
        <w:rPr>
          <w:rStyle w:val="FootnoteReference"/>
          <w:szCs w:val="22"/>
        </w:rPr>
        <w:footnoteReference w:id="17"/>
      </w:r>
      <w:r>
        <w:rPr>
          <w:szCs w:val="22"/>
        </w:rPr>
        <w:t xml:space="preserve">  </w:t>
      </w:r>
    </w:p>
    <w:p w:rsidR="005C666C" w:rsidP="005C666C" w14:paraId="339A6CF1" w14:textId="77777777">
      <w:pPr>
        <w:rPr>
          <w:szCs w:val="22"/>
        </w:rPr>
      </w:pPr>
    </w:p>
    <w:p w:rsidR="005C666C" w:rsidRPr="007E2248" w:rsidP="005C666C" w14:paraId="3C9B0AFD" w14:textId="799C60F9">
      <w:pPr>
        <w:rPr>
          <w:szCs w:val="22"/>
        </w:rPr>
      </w:pPr>
      <w:r>
        <w:rPr>
          <w:szCs w:val="22"/>
        </w:rPr>
        <w:tab/>
      </w:r>
      <w:r w:rsidRPr="005C666C">
        <w:rPr>
          <w:rStyle w:val="documentbody1"/>
          <w:rFonts w:ascii="Times New Roman" w:hAnsi="Times New Roman"/>
          <w:i/>
          <w:iCs/>
          <w:color w:val="000000"/>
          <w:sz w:val="22"/>
          <w:szCs w:val="22"/>
        </w:rPr>
        <w:t xml:space="preserve">Coordinated </w:t>
      </w:r>
      <w:r w:rsidR="00F36734">
        <w:rPr>
          <w:rStyle w:val="documentbody1"/>
          <w:rFonts w:ascii="Times New Roman" w:hAnsi="Times New Roman"/>
          <w:i/>
          <w:iCs/>
          <w:color w:val="000000"/>
          <w:sz w:val="22"/>
          <w:szCs w:val="22"/>
        </w:rPr>
        <w:t xml:space="preserve">and Unilateral </w:t>
      </w:r>
      <w:r w:rsidRPr="005C666C">
        <w:rPr>
          <w:rStyle w:val="documentbody1"/>
          <w:rFonts w:ascii="Times New Roman" w:hAnsi="Times New Roman"/>
          <w:i/>
          <w:iCs/>
          <w:color w:val="000000"/>
          <w:sz w:val="22"/>
          <w:szCs w:val="22"/>
        </w:rPr>
        <w:t>Technical Amendments.</w:t>
      </w:r>
      <w:r w:rsidRPr="007E2248">
        <w:rPr>
          <w:rStyle w:val="documentbody1"/>
          <w:rFonts w:ascii="Times New Roman" w:hAnsi="Times New Roman"/>
          <w:color w:val="000000"/>
          <w:sz w:val="22"/>
          <w:szCs w:val="22"/>
        </w:rPr>
        <w:t xml:space="preserve">  Applicants filing coordinated technical amendments as part of a settlement agreement must cross-reference all such filings in each amendment.  </w:t>
      </w:r>
      <w:r w:rsidR="00F36734">
        <w:rPr>
          <w:rStyle w:val="documentbody1"/>
          <w:rFonts w:ascii="Times New Roman" w:hAnsi="Times New Roman"/>
          <w:color w:val="000000"/>
          <w:sz w:val="22"/>
          <w:szCs w:val="22"/>
        </w:rPr>
        <w:t>A</w:t>
      </w:r>
      <w:r w:rsidRPr="007E2248">
        <w:rPr>
          <w:rStyle w:val="documentbody1"/>
          <w:rFonts w:ascii="Times New Roman" w:hAnsi="Times New Roman"/>
          <w:color w:val="000000"/>
          <w:sz w:val="22"/>
          <w:szCs w:val="22"/>
        </w:rPr>
        <w:t>n a</w:t>
      </w:r>
      <w:r w:rsidRPr="007E2248">
        <w:rPr>
          <w:color w:val="000000"/>
          <w:szCs w:val="22"/>
        </w:rPr>
        <w:t>pplicant that unilaterally files an engineering amendment to procure the removal of conflicts with other applications, without having entered into a settlement agreement with any other applicant, must nevertheless submit an affidavit stating whether consideration has been promised to or received by such applicant in connection with its engineering amendment.</w:t>
      </w:r>
      <w:r>
        <w:rPr>
          <w:rStyle w:val="FootnoteReference"/>
          <w:color w:val="000000"/>
          <w:szCs w:val="22"/>
        </w:rPr>
        <w:footnoteReference w:id="18"/>
      </w:r>
    </w:p>
    <w:p w:rsidR="005C666C" w:rsidP="007E2248" w14:paraId="173C6A3F" w14:textId="77777777">
      <w:pPr>
        <w:tabs>
          <w:tab w:val="left" w:pos="1"/>
          <w:tab w:val="left" w:pos="720"/>
          <w:tab w:val="left" w:pos="1440"/>
          <w:tab w:val="right" w:pos="9360"/>
        </w:tabs>
        <w:rPr>
          <w:szCs w:val="22"/>
        </w:rPr>
      </w:pPr>
    </w:p>
    <w:p w:rsidR="007E2248" w:rsidP="007E2248" w14:paraId="6580D0BD" w14:textId="49311516">
      <w:pPr>
        <w:tabs>
          <w:tab w:val="left" w:pos="1"/>
          <w:tab w:val="left" w:pos="720"/>
          <w:tab w:val="left" w:pos="1440"/>
          <w:tab w:val="right" w:pos="9360"/>
        </w:tabs>
        <w:rPr>
          <w:szCs w:val="22"/>
        </w:rPr>
      </w:pPr>
      <w:r>
        <w:rPr>
          <w:szCs w:val="22"/>
        </w:rPr>
        <w:tab/>
      </w:r>
      <w:r>
        <w:rPr>
          <w:szCs w:val="22"/>
        </w:rPr>
        <w:tab/>
      </w:r>
      <w:r w:rsidRPr="005C666C">
        <w:rPr>
          <w:i/>
          <w:iCs/>
          <w:szCs w:val="22"/>
        </w:rPr>
        <w:t>Major Amendments.</w:t>
      </w:r>
      <w:r>
        <w:rPr>
          <w:szCs w:val="22"/>
        </w:rPr>
        <w:t xml:space="preserve">  Major amendments, such as non-adjacent channel changes and otherwise prohibited site relocations of greater than </w:t>
      </w:r>
      <w:r w:rsidR="00CF782A">
        <w:rPr>
          <w:szCs w:val="22"/>
        </w:rPr>
        <w:t>11.2</w:t>
      </w:r>
      <w:r>
        <w:rPr>
          <w:szCs w:val="22"/>
        </w:rPr>
        <w:t xml:space="preserve"> kilometers</w:t>
      </w:r>
      <w:r w:rsidR="00465634">
        <w:rPr>
          <w:szCs w:val="22"/>
        </w:rPr>
        <w:t xml:space="preserve"> that do no</w:t>
      </w:r>
      <w:r w:rsidR="005308BA">
        <w:rPr>
          <w:szCs w:val="22"/>
        </w:rPr>
        <w:t>t</w:t>
      </w:r>
      <w:r w:rsidR="00F75082">
        <w:rPr>
          <w:szCs w:val="22"/>
        </w:rPr>
        <w:t xml:space="preserve"> overlap 60 dBu contours </w:t>
      </w:r>
      <w:r w:rsidR="00081F37">
        <w:rPr>
          <w:szCs w:val="22"/>
        </w:rPr>
        <w:t>(comparing the amended facilities to the prior proposed facilities)</w:t>
      </w:r>
      <w:r>
        <w:rPr>
          <w:szCs w:val="22"/>
        </w:rPr>
        <w:t xml:space="preserve">, will </w:t>
      </w:r>
      <w:r w:rsidRPr="00B903B3">
        <w:rPr>
          <w:i/>
          <w:iCs/>
          <w:szCs w:val="22"/>
        </w:rPr>
        <w:t>only</w:t>
      </w:r>
      <w:r>
        <w:rPr>
          <w:szCs w:val="22"/>
        </w:rPr>
        <w:t xml:space="preserve"> be allowed after the Commission identifies tentative selectees among the MX groups.  Tentative selectees will be announced in a series of Tentative Selectee PN</w:t>
      </w:r>
      <w:r w:rsidR="006D654D">
        <w:rPr>
          <w:szCs w:val="22"/>
        </w:rPr>
        <w:t>s</w:t>
      </w:r>
      <w:r w:rsidR="005C666C">
        <w:rPr>
          <w:szCs w:val="22"/>
        </w:rPr>
        <w:t xml:space="preserve"> after the 60-day settlement period</w:t>
      </w:r>
      <w:r>
        <w:rPr>
          <w:szCs w:val="22"/>
        </w:rPr>
        <w:t xml:space="preserve">.  Major amendments will </w:t>
      </w:r>
      <w:r w:rsidRPr="007041B6">
        <w:rPr>
          <w:i/>
          <w:iCs/>
          <w:szCs w:val="22"/>
        </w:rPr>
        <w:t>only</w:t>
      </w:r>
      <w:r>
        <w:rPr>
          <w:szCs w:val="22"/>
        </w:rPr>
        <w:t xml:space="preserve"> be allowed within 90 days of the release of a Tentative Selectee PN and o</w:t>
      </w:r>
      <w:r w:rsidRPr="007041B6">
        <w:rPr>
          <w:i/>
          <w:iCs/>
          <w:szCs w:val="22"/>
        </w:rPr>
        <w:t>nly</w:t>
      </w:r>
      <w:r>
        <w:rPr>
          <w:szCs w:val="22"/>
        </w:rPr>
        <w:t xml:space="preserve"> with respect to the applications listed in the particular Tentative Selectee PN.</w:t>
      </w:r>
    </w:p>
    <w:p w:rsidR="007E2248" w:rsidP="007E2248" w14:paraId="19D4DCCC" w14:textId="77777777">
      <w:pPr>
        <w:tabs>
          <w:tab w:val="left" w:pos="1"/>
          <w:tab w:val="left" w:pos="720"/>
          <w:tab w:val="left" w:pos="1440"/>
          <w:tab w:val="right" w:pos="9360"/>
        </w:tabs>
        <w:rPr>
          <w:szCs w:val="22"/>
        </w:rPr>
      </w:pPr>
    </w:p>
    <w:p w:rsidR="007E2248" w:rsidRPr="005C666C" w:rsidP="005C666C" w14:paraId="58371830" w14:textId="6BD73610">
      <w:pPr>
        <w:tabs>
          <w:tab w:val="left" w:pos="1"/>
          <w:tab w:val="left" w:pos="720"/>
          <w:tab w:val="left" w:pos="1440"/>
          <w:tab w:val="right" w:pos="9360"/>
        </w:tabs>
        <w:rPr>
          <w:rStyle w:val="documentbody1"/>
          <w:rFonts w:ascii="Times New Roman" w:hAnsi="Times New Roman"/>
          <w:sz w:val="22"/>
          <w:szCs w:val="22"/>
        </w:rPr>
      </w:pPr>
      <w:r>
        <w:rPr>
          <w:szCs w:val="22"/>
        </w:rPr>
        <w:tab/>
      </w:r>
      <w:r>
        <w:rPr>
          <w:szCs w:val="22"/>
        </w:rPr>
        <w:tab/>
      </w:r>
      <w:r w:rsidRPr="005C666C">
        <w:rPr>
          <w:i/>
          <w:iCs/>
          <w:szCs w:val="22"/>
        </w:rPr>
        <w:t>Prohibited Amendments.</w:t>
      </w:r>
      <w:r>
        <w:rPr>
          <w:szCs w:val="22"/>
        </w:rPr>
        <w:t xml:space="preserve">  Applicants </w:t>
      </w:r>
      <w:r w:rsidRPr="00C96CB6">
        <w:rPr>
          <w:bCs/>
          <w:i/>
          <w:iCs/>
          <w:szCs w:val="22"/>
        </w:rPr>
        <w:t>may not</w:t>
      </w:r>
      <w:r>
        <w:rPr>
          <w:szCs w:val="22"/>
        </w:rPr>
        <w:t xml:space="preserve"> amend their applications to increase their comparative point total and </w:t>
      </w:r>
      <w:r w:rsidRPr="00C96CB6">
        <w:rPr>
          <w:bCs/>
          <w:i/>
          <w:iCs/>
          <w:szCs w:val="22"/>
        </w:rPr>
        <w:t>may not</w:t>
      </w:r>
      <w:r>
        <w:rPr>
          <w:szCs w:val="22"/>
        </w:rPr>
        <w:t xml:space="preserve"> amend their applications to come into compliance with the minimum separation requirements provided in </w:t>
      </w:r>
      <w:r w:rsidR="00336075">
        <w:rPr>
          <w:szCs w:val="22"/>
        </w:rPr>
        <w:t>section 73.807 of the Commission’s rules.</w:t>
      </w:r>
      <w:r>
        <w:rPr>
          <w:rStyle w:val="FootnoteReference"/>
          <w:szCs w:val="22"/>
        </w:rPr>
        <w:footnoteReference w:id="19"/>
      </w:r>
    </w:p>
    <w:p w:rsidR="007E2248" w:rsidP="007E2248" w14:paraId="468A8378" w14:textId="77777777">
      <w:pPr>
        <w:tabs>
          <w:tab w:val="left" w:pos="1"/>
          <w:tab w:val="left" w:pos="720"/>
          <w:tab w:val="left" w:pos="1440"/>
          <w:tab w:val="right" w:pos="9360"/>
        </w:tabs>
        <w:rPr>
          <w:szCs w:val="22"/>
        </w:rPr>
      </w:pPr>
    </w:p>
    <w:p w:rsidR="00815BAA" w:rsidP="007E2248" w14:paraId="395D77D8" w14:textId="60CBE4B8">
      <w:pPr>
        <w:tabs>
          <w:tab w:val="left" w:pos="1"/>
          <w:tab w:val="left" w:pos="720"/>
          <w:tab w:val="left" w:pos="1440"/>
          <w:tab w:val="right" w:pos="9360"/>
        </w:tabs>
        <w:rPr>
          <w:szCs w:val="22"/>
        </w:rPr>
      </w:pPr>
      <w:r>
        <w:rPr>
          <w:b/>
          <w:szCs w:val="22"/>
        </w:rPr>
        <w:tab/>
      </w:r>
      <w:r>
        <w:rPr>
          <w:b/>
          <w:szCs w:val="22"/>
        </w:rPr>
        <w:tab/>
        <w:t xml:space="preserve">Voluntary </w:t>
      </w:r>
      <w:r>
        <w:rPr>
          <w:b/>
          <w:szCs w:val="22"/>
        </w:rPr>
        <w:t xml:space="preserve">and Involuntary </w:t>
      </w:r>
      <w:r>
        <w:rPr>
          <w:b/>
          <w:szCs w:val="22"/>
        </w:rPr>
        <w:t>Time-Share Agreements</w:t>
      </w:r>
      <w:r w:rsidR="007B641D">
        <w:rPr>
          <w:b/>
          <w:szCs w:val="22"/>
        </w:rPr>
        <w:t>.</w:t>
      </w:r>
      <w:r>
        <w:rPr>
          <w:b/>
          <w:szCs w:val="22"/>
        </w:rPr>
        <w:t xml:space="preserve">  </w:t>
      </w:r>
      <w:r>
        <w:rPr>
          <w:szCs w:val="22"/>
        </w:rPr>
        <w:t>MX applicants may also enter into  voluntary time-share agreement</w:t>
      </w:r>
      <w:r>
        <w:rPr>
          <w:szCs w:val="22"/>
        </w:rPr>
        <w:t>s</w:t>
      </w:r>
      <w:r>
        <w:rPr>
          <w:szCs w:val="22"/>
        </w:rPr>
        <w:t>.</w:t>
      </w:r>
      <w:r>
        <w:rPr>
          <w:szCs w:val="22"/>
        </w:rPr>
        <w:t xml:space="preserve">  Specifically, if MX </w:t>
      </w:r>
      <w:r w:rsidRPr="003060C8">
        <w:rPr>
          <w:szCs w:val="22"/>
        </w:rPr>
        <w:t>applica</w:t>
      </w:r>
      <w:r>
        <w:rPr>
          <w:szCs w:val="22"/>
        </w:rPr>
        <w:t>nts</w:t>
      </w:r>
      <w:r w:rsidRPr="003060C8">
        <w:rPr>
          <w:szCs w:val="22"/>
        </w:rPr>
        <w:t xml:space="preserve"> have the same </w:t>
      </w:r>
      <w:r w:rsidR="00262EAB">
        <w:rPr>
          <w:szCs w:val="22"/>
        </w:rPr>
        <w:t xml:space="preserve">highest </w:t>
      </w:r>
      <w:r w:rsidRPr="003060C8">
        <w:rPr>
          <w:szCs w:val="22"/>
        </w:rPr>
        <w:t>point total</w:t>
      </w:r>
      <w:r w:rsidR="00CF782A">
        <w:rPr>
          <w:szCs w:val="22"/>
        </w:rPr>
        <w:t>,</w:t>
      </w:r>
      <w:r>
        <w:rPr>
          <w:rStyle w:val="FootnoteReference"/>
          <w:szCs w:val="22"/>
        </w:rPr>
        <w:footnoteReference w:id="20"/>
      </w:r>
      <w:r w:rsidRPr="003060C8">
        <w:rPr>
          <w:szCs w:val="22"/>
        </w:rPr>
        <w:t xml:space="preserve"> </w:t>
      </w:r>
      <w:r w:rsidRPr="00815BAA">
        <w:rPr>
          <w:i/>
          <w:iCs/>
          <w:szCs w:val="22"/>
        </w:rPr>
        <w:t>no more than three</w:t>
      </w:r>
      <w:r w:rsidRPr="003060C8">
        <w:rPr>
          <w:szCs w:val="22"/>
        </w:rPr>
        <w:t xml:space="preserve"> of the applicants </w:t>
      </w:r>
      <w:r w:rsidR="00262EAB">
        <w:rPr>
          <w:szCs w:val="22"/>
        </w:rPr>
        <w:t xml:space="preserve">tied for the highest point total </w:t>
      </w:r>
      <w:r w:rsidRPr="003060C8">
        <w:rPr>
          <w:szCs w:val="22"/>
        </w:rPr>
        <w:t>may propose to share use of the frequency by electronically submitting, within 90 days of the release of a public notice announcing the tie</w:t>
      </w:r>
      <w:r w:rsidR="00D75FDF">
        <w:rPr>
          <w:szCs w:val="22"/>
        </w:rPr>
        <w:t xml:space="preserve"> (the Tentative Selectee PN)</w:t>
      </w:r>
      <w:r w:rsidRPr="003060C8">
        <w:rPr>
          <w:szCs w:val="22"/>
        </w:rPr>
        <w:t>, a time-share proposal.</w:t>
      </w:r>
      <w:r>
        <w:rPr>
          <w:rStyle w:val="FootnoteReference"/>
          <w:szCs w:val="22"/>
        </w:rPr>
        <w:footnoteReference w:id="21"/>
      </w:r>
      <w:r w:rsidRPr="003060C8">
        <w:rPr>
          <w:szCs w:val="22"/>
        </w:rPr>
        <w:t xml:space="preserve">  Such proposals shall be treated as minor amendments to the time-share proponents' applications and shall become part of the terms of the station authorization</w:t>
      </w:r>
      <w:r w:rsidR="00F36734">
        <w:rPr>
          <w:szCs w:val="22"/>
        </w:rPr>
        <w:t>.</w:t>
      </w:r>
      <w:r>
        <w:rPr>
          <w:szCs w:val="22"/>
        </w:rPr>
        <w:t xml:space="preserve">  </w:t>
      </w:r>
    </w:p>
    <w:p w:rsidR="00815BAA" w:rsidP="00815BAA" w14:paraId="056C8B5E" w14:textId="77777777">
      <w:pPr>
        <w:pStyle w:val="Default"/>
        <w:ind w:firstLine="720"/>
        <w:rPr>
          <w:sz w:val="22"/>
          <w:szCs w:val="22"/>
        </w:rPr>
      </w:pPr>
    </w:p>
    <w:p w:rsidR="00815BAA" w:rsidP="00815BAA" w14:paraId="302B3B83" w14:textId="09124808">
      <w:pPr>
        <w:pStyle w:val="Default"/>
        <w:ind w:firstLine="720"/>
        <w:rPr>
          <w:sz w:val="22"/>
          <w:szCs w:val="22"/>
        </w:rPr>
      </w:pPr>
      <w:r>
        <w:rPr>
          <w:sz w:val="22"/>
          <w:szCs w:val="22"/>
        </w:rPr>
        <w:t xml:space="preserve">LPFM applicants may begin to communicate and collaborate </w:t>
      </w:r>
      <w:r w:rsidRPr="00021538" w:rsidR="009D6266">
        <w:rPr>
          <w:i/>
          <w:iCs/>
          <w:sz w:val="22"/>
          <w:szCs w:val="22"/>
        </w:rPr>
        <w:t>at any time</w:t>
      </w:r>
      <w:r>
        <w:rPr>
          <w:sz w:val="22"/>
          <w:szCs w:val="22"/>
        </w:rPr>
        <w:t xml:space="preserve"> on aggregating their points and entering into voluntary time-sharing agreements.</w:t>
      </w:r>
      <w:r>
        <w:rPr>
          <w:rStyle w:val="FootnoteReference"/>
          <w:szCs w:val="22"/>
        </w:rPr>
        <w:footnoteReference w:id="22"/>
      </w:r>
      <w:r>
        <w:rPr>
          <w:sz w:val="22"/>
          <w:szCs w:val="22"/>
        </w:rPr>
        <w:t xml:space="preserve">  </w:t>
      </w:r>
      <w:r w:rsidRPr="003060C8">
        <w:rPr>
          <w:sz w:val="22"/>
          <w:szCs w:val="22"/>
        </w:rPr>
        <w:t>Applicant</w:t>
      </w:r>
      <w:r>
        <w:rPr>
          <w:sz w:val="22"/>
          <w:szCs w:val="22"/>
        </w:rPr>
        <w:t>s that</w:t>
      </w:r>
      <w:r w:rsidRPr="003060C8">
        <w:rPr>
          <w:sz w:val="22"/>
          <w:szCs w:val="22"/>
        </w:rPr>
        <w:t xml:space="preserve"> enter into voluntary time-</w:t>
      </w:r>
      <w:r w:rsidRPr="003060C8">
        <w:rPr>
          <w:sz w:val="22"/>
          <w:szCs w:val="22"/>
        </w:rPr>
        <w:t>sharing agreements prior to the tentative selectee designations</w:t>
      </w:r>
      <w:r>
        <w:rPr>
          <w:sz w:val="22"/>
          <w:szCs w:val="22"/>
        </w:rPr>
        <w:t>, however, must</w:t>
      </w:r>
      <w:r w:rsidRPr="003060C8">
        <w:rPr>
          <w:sz w:val="22"/>
          <w:szCs w:val="22"/>
        </w:rPr>
        <w:t xml:space="preserve"> condition</w:t>
      </w:r>
      <w:r>
        <w:rPr>
          <w:sz w:val="22"/>
          <w:szCs w:val="22"/>
        </w:rPr>
        <w:t xml:space="preserve"> the agreement</w:t>
      </w:r>
      <w:r w:rsidRPr="003060C8">
        <w:rPr>
          <w:sz w:val="22"/>
          <w:szCs w:val="22"/>
        </w:rPr>
        <w:t xml:space="preserve"> on each applicant </w:t>
      </w:r>
      <w:r w:rsidR="001425BD">
        <w:rPr>
          <w:sz w:val="22"/>
          <w:szCs w:val="22"/>
        </w:rPr>
        <w:t xml:space="preserve">subsequently achieving </w:t>
      </w:r>
      <w:r w:rsidRPr="003060C8">
        <w:rPr>
          <w:sz w:val="22"/>
          <w:szCs w:val="22"/>
        </w:rPr>
        <w:t>tentative selectee</w:t>
      </w:r>
      <w:r>
        <w:rPr>
          <w:sz w:val="22"/>
          <w:szCs w:val="22"/>
        </w:rPr>
        <w:t xml:space="preserve"> </w:t>
      </w:r>
      <w:r w:rsidR="001425BD">
        <w:rPr>
          <w:sz w:val="22"/>
          <w:szCs w:val="22"/>
        </w:rPr>
        <w:t xml:space="preserve">status </w:t>
      </w:r>
      <w:r>
        <w:rPr>
          <w:sz w:val="22"/>
          <w:szCs w:val="22"/>
        </w:rPr>
        <w:t xml:space="preserve">and each applicant having the basic qualifications to receive grant of its application.  Although applicants may collaborate with each other at any time, any time-share proposal may </w:t>
      </w:r>
      <w:r w:rsidRPr="00D24DB2">
        <w:rPr>
          <w:i/>
          <w:iCs/>
          <w:sz w:val="22"/>
          <w:szCs w:val="22"/>
        </w:rPr>
        <w:t>only</w:t>
      </w:r>
      <w:r>
        <w:rPr>
          <w:sz w:val="22"/>
          <w:szCs w:val="22"/>
        </w:rPr>
        <w:t xml:space="preserve"> be electronically submitted within 90 days after the release of the </w:t>
      </w:r>
      <w:r w:rsidR="00D75FDF">
        <w:rPr>
          <w:sz w:val="22"/>
          <w:szCs w:val="22"/>
        </w:rPr>
        <w:t>Tentative Selectee PN</w:t>
      </w:r>
      <w:r>
        <w:rPr>
          <w:sz w:val="22"/>
          <w:szCs w:val="22"/>
        </w:rPr>
        <w:t>.</w:t>
      </w:r>
      <w:r>
        <w:rPr>
          <w:rStyle w:val="FootnoteReference"/>
          <w:szCs w:val="22"/>
        </w:rPr>
        <w:footnoteReference w:id="23"/>
      </w:r>
    </w:p>
    <w:p w:rsidR="00815BAA" w:rsidP="00815BAA" w14:paraId="17F07991" w14:textId="77777777">
      <w:pPr>
        <w:pStyle w:val="Default"/>
        <w:ind w:firstLine="720"/>
        <w:rPr>
          <w:sz w:val="22"/>
          <w:szCs w:val="22"/>
        </w:rPr>
      </w:pPr>
    </w:p>
    <w:p w:rsidR="00815BAA" w:rsidP="00815BAA" w14:paraId="70F6E956" w14:textId="422F1D7F">
      <w:pPr>
        <w:tabs>
          <w:tab w:val="left" w:pos="1"/>
          <w:tab w:val="left" w:pos="720"/>
          <w:tab w:val="left" w:pos="1440"/>
          <w:tab w:val="right" w:pos="9360"/>
        </w:tabs>
        <w:rPr>
          <w:szCs w:val="22"/>
        </w:rPr>
      </w:pPr>
      <w:r>
        <w:rPr>
          <w:szCs w:val="22"/>
        </w:rPr>
        <w:tab/>
      </w:r>
      <w:r>
        <w:rPr>
          <w:szCs w:val="22"/>
        </w:rPr>
        <w:tab/>
        <w:t xml:space="preserve">Any time-share agreement must </w:t>
      </w:r>
      <w:r w:rsidR="00D75FDF">
        <w:rPr>
          <w:szCs w:val="22"/>
        </w:rPr>
        <w:t xml:space="preserve">be in writing, signed by each time-share proponent, and </w:t>
      </w:r>
      <w:r>
        <w:rPr>
          <w:szCs w:val="22"/>
        </w:rPr>
        <w:t>satisfy the following requirements:</w:t>
      </w:r>
    </w:p>
    <w:p w:rsidR="00815BAA" w:rsidP="00815BAA" w14:paraId="2A6B6494" w14:textId="77777777">
      <w:pPr>
        <w:pStyle w:val="ListParagraph"/>
        <w:tabs>
          <w:tab w:val="left" w:pos="1"/>
          <w:tab w:val="left" w:pos="720"/>
          <w:tab w:val="left" w:pos="1440"/>
          <w:tab w:val="right" w:pos="9360"/>
        </w:tabs>
        <w:ind w:left="1080"/>
        <w:rPr>
          <w:szCs w:val="22"/>
        </w:rPr>
      </w:pPr>
    </w:p>
    <w:p w:rsidR="00815BAA" w:rsidP="00815BAA" w14:paraId="1E7DEAB6" w14:textId="229788E4">
      <w:pPr>
        <w:pStyle w:val="ListParagraph"/>
        <w:numPr>
          <w:ilvl w:val="0"/>
          <w:numId w:val="12"/>
        </w:numPr>
        <w:tabs>
          <w:tab w:val="left" w:pos="1"/>
          <w:tab w:val="left" w:pos="720"/>
          <w:tab w:val="left" w:pos="1440"/>
          <w:tab w:val="right" w:pos="9360"/>
        </w:tabs>
        <w:rPr>
          <w:szCs w:val="22"/>
        </w:rPr>
      </w:pPr>
      <w:r>
        <w:rPr>
          <w:szCs w:val="22"/>
        </w:rPr>
        <w:t>The proposal must specify the proposed hours of operation of each time-share proponent;</w:t>
      </w:r>
    </w:p>
    <w:p w:rsidR="00815BAA" w:rsidP="00815BAA" w14:paraId="5FA2124B" w14:textId="77777777">
      <w:pPr>
        <w:pStyle w:val="ListParagraph"/>
        <w:numPr>
          <w:ilvl w:val="0"/>
          <w:numId w:val="12"/>
        </w:numPr>
        <w:tabs>
          <w:tab w:val="left" w:pos="1"/>
          <w:tab w:val="left" w:pos="720"/>
          <w:tab w:val="left" w:pos="1440"/>
          <w:tab w:val="right" w:pos="9360"/>
        </w:tabs>
        <w:rPr>
          <w:szCs w:val="22"/>
        </w:rPr>
      </w:pPr>
      <w:r>
        <w:rPr>
          <w:szCs w:val="22"/>
        </w:rPr>
        <w:t>The proposal must not include simultaneous operation of the time-share proponents; and</w:t>
      </w:r>
    </w:p>
    <w:p w:rsidR="00815BAA" w:rsidRPr="009D6266" w:rsidP="009D6266" w14:paraId="2F79DBED" w14:textId="248B7086">
      <w:pPr>
        <w:pStyle w:val="ListParagraph"/>
        <w:numPr>
          <w:ilvl w:val="0"/>
          <w:numId w:val="12"/>
        </w:numPr>
        <w:tabs>
          <w:tab w:val="left" w:pos="1"/>
          <w:tab w:val="left" w:pos="720"/>
          <w:tab w:val="left" w:pos="1440"/>
          <w:tab w:val="right" w:pos="9360"/>
        </w:tabs>
        <w:rPr>
          <w:b/>
          <w:szCs w:val="22"/>
        </w:rPr>
      </w:pPr>
      <w:r>
        <w:rPr>
          <w:szCs w:val="22"/>
        </w:rPr>
        <w:t>Each time-share proponent must propose to operate for at least 10 hours per week.</w:t>
      </w:r>
      <w:r>
        <w:rPr>
          <w:rStyle w:val="FootnoteReference"/>
          <w:szCs w:val="22"/>
        </w:rPr>
        <w:footnoteReference w:id="24"/>
      </w:r>
    </w:p>
    <w:p w:rsidR="00815BAA" w:rsidP="00815BAA" w14:paraId="0596EA6F" w14:textId="77777777">
      <w:pPr>
        <w:pStyle w:val="Default"/>
        <w:ind w:firstLine="720"/>
        <w:rPr>
          <w:sz w:val="22"/>
          <w:szCs w:val="22"/>
        </w:rPr>
      </w:pPr>
    </w:p>
    <w:p w:rsidR="00D75FDF" w:rsidP="00815BAA" w14:paraId="6CFD2905" w14:textId="6D709881">
      <w:pPr>
        <w:pStyle w:val="Default"/>
        <w:ind w:firstLine="720"/>
        <w:rPr>
          <w:sz w:val="22"/>
          <w:szCs w:val="22"/>
        </w:rPr>
      </w:pPr>
      <w:r>
        <w:rPr>
          <w:sz w:val="22"/>
          <w:szCs w:val="22"/>
        </w:rPr>
        <w:t>Following the tentative selectee designations</w:t>
      </w:r>
      <w:r w:rsidR="00195352">
        <w:rPr>
          <w:sz w:val="22"/>
          <w:szCs w:val="22"/>
        </w:rPr>
        <w:t xml:space="preserve"> in the Tentative Selectee PNs</w:t>
      </w:r>
      <w:r>
        <w:rPr>
          <w:sz w:val="22"/>
          <w:szCs w:val="22"/>
        </w:rPr>
        <w:t>, i</w:t>
      </w:r>
      <w:r w:rsidRPr="003060C8">
        <w:rPr>
          <w:sz w:val="22"/>
          <w:szCs w:val="22"/>
        </w:rPr>
        <w:t>f th</w:t>
      </w:r>
      <w:r>
        <w:rPr>
          <w:sz w:val="22"/>
          <w:szCs w:val="22"/>
        </w:rPr>
        <w:t>e</w:t>
      </w:r>
      <w:r w:rsidRPr="003060C8">
        <w:rPr>
          <w:sz w:val="22"/>
          <w:szCs w:val="22"/>
        </w:rPr>
        <w:t xml:space="preserve"> </w:t>
      </w:r>
      <w:r>
        <w:rPr>
          <w:sz w:val="22"/>
          <w:szCs w:val="22"/>
        </w:rPr>
        <w:t xml:space="preserve">tied MX </w:t>
      </w:r>
      <w:r w:rsidRPr="003060C8">
        <w:rPr>
          <w:sz w:val="22"/>
          <w:szCs w:val="22"/>
        </w:rPr>
        <w:t>applicants do not enter into voluntary time-share agreement</w:t>
      </w:r>
      <w:r>
        <w:rPr>
          <w:sz w:val="22"/>
          <w:szCs w:val="22"/>
        </w:rPr>
        <w:t>s within the time allotted</w:t>
      </w:r>
      <w:r w:rsidRPr="003060C8">
        <w:rPr>
          <w:sz w:val="22"/>
          <w:szCs w:val="22"/>
        </w:rPr>
        <w:t>, the Commission will assign involuntary time-sharing arrangements</w:t>
      </w:r>
      <w:r>
        <w:rPr>
          <w:rStyle w:val="FootnoteReference"/>
          <w:szCs w:val="22"/>
        </w:rPr>
        <w:footnoteReference w:id="25"/>
      </w:r>
      <w:r w:rsidRPr="003060C8">
        <w:rPr>
          <w:sz w:val="22"/>
          <w:szCs w:val="22"/>
        </w:rPr>
        <w:t xml:space="preserve"> to no more than three of the tied applicants in each MX Group.</w:t>
      </w:r>
    </w:p>
    <w:p w:rsidR="009D6266" w:rsidP="007E2248" w14:paraId="7103C657" w14:textId="4EDA47E0">
      <w:pPr>
        <w:tabs>
          <w:tab w:val="left" w:pos="1"/>
          <w:tab w:val="left" w:pos="720"/>
          <w:tab w:val="left" w:pos="1440"/>
          <w:tab w:val="right" w:pos="9360"/>
        </w:tabs>
        <w:rPr>
          <w:szCs w:val="22"/>
        </w:rPr>
      </w:pPr>
    </w:p>
    <w:p w:rsidR="007E2248" w:rsidP="007E2248" w14:paraId="600809FD" w14:textId="602C2C96">
      <w:pPr>
        <w:tabs>
          <w:tab w:val="left" w:pos="1"/>
          <w:tab w:val="left" w:pos="720"/>
          <w:tab w:val="left" w:pos="1440"/>
          <w:tab w:val="right" w:pos="9360"/>
        </w:tabs>
        <w:rPr>
          <w:szCs w:val="22"/>
        </w:rPr>
      </w:pPr>
      <w:r>
        <w:rPr>
          <w:b/>
          <w:szCs w:val="22"/>
        </w:rPr>
        <w:tab/>
      </w:r>
      <w:r>
        <w:rPr>
          <w:b/>
          <w:szCs w:val="22"/>
        </w:rPr>
        <w:tab/>
        <w:t>Petitions to Deny</w:t>
      </w:r>
      <w:r w:rsidR="002C0BCD">
        <w:rPr>
          <w:b/>
          <w:szCs w:val="22"/>
        </w:rPr>
        <w:t>.</w:t>
      </w:r>
      <w:r>
        <w:rPr>
          <w:b/>
          <w:szCs w:val="22"/>
        </w:rPr>
        <w:t xml:space="preserve">  </w:t>
      </w:r>
      <w:r w:rsidR="007B641D">
        <w:rPr>
          <w:szCs w:val="22"/>
        </w:rPr>
        <w:t>Singleton applications and tentatively-selected</w:t>
      </w:r>
      <w:r>
        <w:rPr>
          <w:szCs w:val="22"/>
        </w:rPr>
        <w:t xml:space="preserve"> </w:t>
      </w:r>
      <w:r w:rsidR="007B641D">
        <w:rPr>
          <w:szCs w:val="22"/>
        </w:rPr>
        <w:t xml:space="preserve">MX </w:t>
      </w:r>
      <w:r>
        <w:rPr>
          <w:szCs w:val="22"/>
        </w:rPr>
        <w:t>application</w:t>
      </w:r>
      <w:r w:rsidR="007B641D">
        <w:rPr>
          <w:szCs w:val="22"/>
        </w:rPr>
        <w:t xml:space="preserve">s, </w:t>
      </w:r>
      <w:r>
        <w:rPr>
          <w:szCs w:val="22"/>
        </w:rPr>
        <w:t>which  satisf</w:t>
      </w:r>
      <w:r w:rsidR="007B641D">
        <w:rPr>
          <w:szCs w:val="22"/>
        </w:rPr>
        <w:t>y</w:t>
      </w:r>
      <w:r>
        <w:rPr>
          <w:szCs w:val="22"/>
        </w:rPr>
        <w:t xml:space="preserve"> core technical and legal requirements</w:t>
      </w:r>
      <w:r w:rsidR="007B641D">
        <w:rPr>
          <w:szCs w:val="22"/>
        </w:rPr>
        <w:t>,</w:t>
      </w:r>
      <w:r>
        <w:rPr>
          <w:szCs w:val="22"/>
        </w:rPr>
        <w:t xml:space="preserve"> will be “accepted for filing.”  All accepted applications are subject to petitions to deny.</w:t>
      </w:r>
      <w:r>
        <w:rPr>
          <w:rStyle w:val="FootnoteReference"/>
          <w:szCs w:val="22"/>
        </w:rPr>
        <w:footnoteReference w:id="26"/>
      </w:r>
      <w:r>
        <w:rPr>
          <w:szCs w:val="22"/>
        </w:rPr>
        <w:t xml:space="preserve">  A petition to deny must be filed within 30 days of a Public Notice announcing the acceptance for filing of an applicati</w:t>
      </w:r>
      <w:r w:rsidR="00635FAF">
        <w:rPr>
          <w:szCs w:val="22"/>
        </w:rPr>
        <w:t>on and</w:t>
      </w:r>
      <w:r>
        <w:rPr>
          <w:szCs w:val="22"/>
        </w:rPr>
        <w:t xml:space="preserve"> in accordance with the procedures set forth in </w:t>
      </w:r>
      <w:r w:rsidR="00AD21DA">
        <w:rPr>
          <w:szCs w:val="22"/>
        </w:rPr>
        <w:t>section 73.3584 of the Commission’s rules.</w:t>
      </w:r>
      <w:r>
        <w:rPr>
          <w:rStyle w:val="FootnoteReference"/>
          <w:szCs w:val="22"/>
        </w:rPr>
        <w:footnoteReference w:id="27"/>
      </w:r>
      <w:r>
        <w:rPr>
          <w:szCs w:val="22"/>
        </w:rPr>
        <w:t xml:space="preserve">  </w:t>
      </w:r>
      <w:r w:rsidR="00587592">
        <w:rPr>
          <w:szCs w:val="22"/>
        </w:rPr>
        <w:t>An informal objection may be filed at any time after the application is accepted for filing.</w:t>
      </w:r>
      <w:r>
        <w:rPr>
          <w:rStyle w:val="FootnoteReference"/>
          <w:szCs w:val="22"/>
        </w:rPr>
        <w:footnoteReference w:id="28"/>
      </w:r>
      <w:r w:rsidR="00587592">
        <w:rPr>
          <w:szCs w:val="22"/>
        </w:rPr>
        <w:t xml:space="preserve">  Filers of both petitions to deny and informal objections must serve a copy of their filings on the applicant</w:t>
      </w:r>
      <w:r w:rsidR="00BC2BCC">
        <w:rPr>
          <w:szCs w:val="22"/>
        </w:rPr>
        <w:t>.</w:t>
      </w:r>
    </w:p>
    <w:p w:rsidR="007E2248" w:rsidP="007E2248" w14:paraId="2F74090D" w14:textId="77777777">
      <w:pPr>
        <w:tabs>
          <w:tab w:val="left" w:pos="1"/>
          <w:tab w:val="left" w:pos="720"/>
          <w:tab w:val="left" w:pos="1440"/>
          <w:tab w:val="right" w:pos="9360"/>
        </w:tabs>
        <w:rPr>
          <w:szCs w:val="22"/>
        </w:rPr>
      </w:pPr>
    </w:p>
    <w:p w:rsidR="007E2248" w:rsidP="007E2248" w14:paraId="118BFEE8" w14:textId="4559B347">
      <w:pPr>
        <w:tabs>
          <w:tab w:val="left" w:pos="1"/>
          <w:tab w:val="left" w:pos="720"/>
          <w:tab w:val="left" w:pos="1440"/>
          <w:tab w:val="right" w:pos="9360"/>
        </w:tabs>
        <w:rPr>
          <w:szCs w:val="22"/>
        </w:rPr>
      </w:pPr>
      <w:r>
        <w:rPr>
          <w:szCs w:val="22"/>
        </w:rPr>
        <w:tab/>
      </w:r>
      <w:r>
        <w:rPr>
          <w:szCs w:val="22"/>
        </w:rPr>
        <w:tab/>
        <w:t xml:space="preserve">Following the completion of the pleading cycle, the Bureau will review the merits of any petition to deny.  Applications that are granted will receive a construction permit from the </w:t>
      </w:r>
      <w:r w:rsidR="003D38E3">
        <w:rPr>
          <w:szCs w:val="22"/>
        </w:rPr>
        <w:t>Bureau</w:t>
      </w:r>
      <w:r>
        <w:rPr>
          <w:szCs w:val="22"/>
        </w:rPr>
        <w:t>.</w:t>
      </w:r>
    </w:p>
    <w:p w:rsidR="007E2248" w:rsidP="007E2248" w14:paraId="42BED330" w14:textId="77777777">
      <w:pPr>
        <w:tabs>
          <w:tab w:val="left" w:pos="1"/>
          <w:tab w:val="left" w:pos="720"/>
          <w:tab w:val="left" w:pos="1440"/>
          <w:tab w:val="right" w:pos="9360"/>
        </w:tabs>
        <w:rPr>
          <w:szCs w:val="22"/>
        </w:rPr>
      </w:pPr>
    </w:p>
    <w:p w:rsidR="008C28C4" w:rsidP="007E2248" w14:paraId="4B473DFD" w14:textId="3436B55C">
      <w:pPr>
        <w:tabs>
          <w:tab w:val="left" w:pos="1"/>
          <w:tab w:val="left" w:pos="720"/>
          <w:tab w:val="left" w:pos="1440"/>
          <w:tab w:val="right" w:pos="9360"/>
        </w:tabs>
        <w:rPr>
          <w:szCs w:val="22"/>
        </w:rPr>
      </w:pPr>
      <w:r>
        <w:rPr>
          <w:szCs w:val="22"/>
        </w:rPr>
        <w:tab/>
      </w:r>
      <w:r>
        <w:rPr>
          <w:szCs w:val="22"/>
        </w:rPr>
        <w:tab/>
        <w:t xml:space="preserve">The Bureau will </w:t>
      </w:r>
      <w:r w:rsidRPr="00AD21DA" w:rsidR="00AD21DA">
        <w:rPr>
          <w:i/>
          <w:iCs/>
          <w:szCs w:val="22"/>
        </w:rPr>
        <w:t>not</w:t>
      </w:r>
      <w:r w:rsidR="00AD21DA">
        <w:rPr>
          <w:szCs w:val="22"/>
        </w:rPr>
        <w:t xml:space="preserve"> </w:t>
      </w:r>
      <w:r>
        <w:rPr>
          <w:szCs w:val="22"/>
        </w:rPr>
        <w:t>entertain an objection or petition to deny a</w:t>
      </w:r>
      <w:r w:rsidR="00AD21DA">
        <w:rPr>
          <w:szCs w:val="22"/>
        </w:rPr>
        <w:t>ny</w:t>
      </w:r>
      <w:r>
        <w:rPr>
          <w:szCs w:val="22"/>
        </w:rPr>
        <w:t xml:space="preserve"> application prior to the </w:t>
      </w:r>
      <w:r w:rsidR="00635FAF">
        <w:rPr>
          <w:szCs w:val="22"/>
        </w:rPr>
        <w:t>designated 30-day petition to deny period.</w:t>
      </w:r>
    </w:p>
    <w:p w:rsidR="007E2248" w:rsidP="007E2248" w14:paraId="201810ED" w14:textId="77777777">
      <w:pPr>
        <w:tabs>
          <w:tab w:val="left" w:pos="1"/>
          <w:tab w:val="left" w:pos="720"/>
          <w:tab w:val="left" w:pos="1440"/>
          <w:tab w:val="right" w:pos="9360"/>
        </w:tabs>
        <w:rPr>
          <w:szCs w:val="22"/>
        </w:rPr>
      </w:pPr>
    </w:p>
    <w:p w:rsidR="007E2248" w:rsidP="007E2248" w14:paraId="564E1A61" w14:textId="633BB834">
      <w:pPr>
        <w:ind w:firstLine="720"/>
        <w:rPr>
          <w:szCs w:val="22"/>
        </w:rPr>
      </w:pPr>
      <w:r>
        <w:rPr>
          <w:b/>
          <w:szCs w:val="22"/>
        </w:rPr>
        <w:t>Dismissed applications</w:t>
      </w:r>
      <w:r w:rsidR="00E372C6">
        <w:rPr>
          <w:b/>
          <w:szCs w:val="22"/>
        </w:rPr>
        <w:t>.</w:t>
      </w:r>
      <w:r>
        <w:rPr>
          <w:szCs w:val="22"/>
        </w:rPr>
        <w:t xml:space="preserve"> </w:t>
      </w:r>
      <w:r w:rsidR="00E372C6">
        <w:rPr>
          <w:szCs w:val="22"/>
        </w:rPr>
        <w:t xml:space="preserve"> Consistent with established processing rules, </w:t>
      </w:r>
      <w:r>
        <w:rPr>
          <w:szCs w:val="22"/>
        </w:rPr>
        <w:t xml:space="preserve">the Bureau must dismiss </w:t>
      </w:r>
      <w:r w:rsidR="00B903B3">
        <w:rPr>
          <w:szCs w:val="22"/>
        </w:rPr>
        <w:t xml:space="preserve">any </w:t>
      </w:r>
      <w:r w:rsidR="00D46761">
        <w:rPr>
          <w:szCs w:val="22"/>
        </w:rPr>
        <w:t>LPFM Application</w:t>
      </w:r>
      <w:r>
        <w:rPr>
          <w:szCs w:val="22"/>
        </w:rPr>
        <w:t xml:space="preserve"> that does not comply with the minimum separation requirements provided in</w:t>
      </w:r>
      <w:r w:rsidR="0003262B">
        <w:rPr>
          <w:szCs w:val="22"/>
        </w:rPr>
        <w:t xml:space="preserve"> section 73.807 of the Commission’s rules.</w:t>
      </w:r>
      <w:r>
        <w:rPr>
          <w:rStyle w:val="FootnoteReference"/>
          <w:szCs w:val="22"/>
        </w:rPr>
        <w:footnoteReference w:id="29"/>
      </w:r>
      <w:r>
        <w:rPr>
          <w:szCs w:val="22"/>
        </w:rPr>
        <w:t xml:space="preserve">  Any application with such a violation cannot be amended to come into compliance with the minimum separation requirements.  Such amendments </w:t>
      </w:r>
      <w:r w:rsidRPr="00E372C6">
        <w:rPr>
          <w:bCs/>
          <w:i/>
          <w:iCs/>
          <w:szCs w:val="22"/>
        </w:rPr>
        <w:t>will not</w:t>
      </w:r>
      <w:r>
        <w:rPr>
          <w:b/>
          <w:szCs w:val="22"/>
        </w:rPr>
        <w:t xml:space="preserve"> </w:t>
      </w:r>
      <w:r>
        <w:rPr>
          <w:szCs w:val="22"/>
        </w:rPr>
        <w:t xml:space="preserve">be </w:t>
      </w:r>
      <w:r>
        <w:rPr>
          <w:szCs w:val="22"/>
        </w:rPr>
        <w:t>accepted under any circumstances.</w:t>
      </w:r>
      <w:r>
        <w:rPr>
          <w:rStyle w:val="FootnoteReference"/>
          <w:szCs w:val="22"/>
        </w:rPr>
        <w:footnoteReference w:id="30"/>
      </w:r>
      <w:r>
        <w:rPr>
          <w:szCs w:val="22"/>
        </w:rPr>
        <w:t xml:space="preserve">  In addition, applications filed by individuals</w:t>
      </w:r>
      <w:r w:rsidR="00BB1FA4">
        <w:rPr>
          <w:szCs w:val="22"/>
        </w:rPr>
        <w:t>,</w:t>
      </w:r>
      <w:r>
        <w:rPr>
          <w:rStyle w:val="FootnoteReference"/>
          <w:szCs w:val="22"/>
        </w:rPr>
        <w:footnoteReference w:id="31"/>
      </w:r>
      <w:r>
        <w:rPr>
          <w:szCs w:val="22"/>
        </w:rPr>
        <w:t xml:space="preserve"> multiple applications filed by non-profit educational organizations</w:t>
      </w:r>
      <w:r w:rsidR="00BB1FA4">
        <w:rPr>
          <w:szCs w:val="22"/>
        </w:rPr>
        <w:t>,</w:t>
      </w:r>
      <w:r>
        <w:rPr>
          <w:rStyle w:val="FootnoteReference"/>
          <w:szCs w:val="22"/>
        </w:rPr>
        <w:footnoteReference w:id="32"/>
      </w:r>
      <w:r>
        <w:rPr>
          <w:szCs w:val="22"/>
        </w:rPr>
        <w:t xml:space="preserve"> </w:t>
      </w:r>
      <w:r w:rsidR="00BB1FA4">
        <w:rPr>
          <w:szCs w:val="22"/>
        </w:rPr>
        <w:t>and applic</w:t>
      </w:r>
      <w:r w:rsidR="000F1033">
        <w:rPr>
          <w:szCs w:val="22"/>
        </w:rPr>
        <w:t>ants engaged in unauthorized radio operations,</w:t>
      </w:r>
      <w:r>
        <w:rPr>
          <w:rStyle w:val="FootnoteReference"/>
          <w:szCs w:val="22"/>
        </w:rPr>
        <w:footnoteReference w:id="33"/>
      </w:r>
      <w:r w:rsidR="000F1033">
        <w:rPr>
          <w:szCs w:val="22"/>
        </w:rPr>
        <w:t xml:space="preserve"> </w:t>
      </w:r>
      <w:r>
        <w:rPr>
          <w:szCs w:val="22"/>
        </w:rPr>
        <w:t xml:space="preserve">cannot be amended to come into compliance with the rules.  </w:t>
      </w:r>
    </w:p>
    <w:p w:rsidR="007E2248" w:rsidP="007E2248" w14:paraId="0D56E39E" w14:textId="77777777">
      <w:pPr>
        <w:tabs>
          <w:tab w:val="left" w:pos="1"/>
          <w:tab w:val="left" w:pos="720"/>
          <w:tab w:val="left" w:pos="1440"/>
          <w:tab w:val="right" w:pos="9360"/>
        </w:tabs>
        <w:rPr>
          <w:szCs w:val="22"/>
        </w:rPr>
      </w:pPr>
    </w:p>
    <w:p w:rsidR="00387DBD" w:rsidP="00387DBD" w14:paraId="36F4D764" w14:textId="299383BB">
      <w:pPr>
        <w:shd w:val="clear" w:color="auto" w:fill="FFFFFF"/>
        <w:textAlignment w:val="baseline"/>
        <w:rPr>
          <w:szCs w:val="22"/>
        </w:rPr>
      </w:pPr>
      <w:r>
        <w:rPr>
          <w:szCs w:val="22"/>
        </w:rPr>
        <w:tab/>
      </w:r>
      <w:r w:rsidR="00D46761">
        <w:rPr>
          <w:szCs w:val="22"/>
        </w:rPr>
        <w:t xml:space="preserve">LPFM </w:t>
      </w:r>
      <w:r w:rsidR="00A940F2">
        <w:rPr>
          <w:szCs w:val="22"/>
        </w:rPr>
        <w:t>applicants whose a</w:t>
      </w:r>
      <w:r w:rsidR="00D46761">
        <w:rPr>
          <w:szCs w:val="22"/>
        </w:rPr>
        <w:t>pplications</w:t>
      </w:r>
      <w:r>
        <w:rPr>
          <w:szCs w:val="22"/>
        </w:rPr>
        <w:t xml:space="preserve"> are dismissed on other grounds </w:t>
      </w:r>
      <w:r w:rsidRPr="00613EED">
        <w:rPr>
          <w:szCs w:val="22"/>
        </w:rPr>
        <w:t xml:space="preserve">will have </w:t>
      </w:r>
      <w:r w:rsidRPr="00B13456">
        <w:rPr>
          <w:szCs w:val="22"/>
        </w:rPr>
        <w:t>one</w:t>
      </w:r>
      <w:r w:rsidRPr="00613EED">
        <w:rPr>
          <w:szCs w:val="22"/>
        </w:rPr>
        <w:t xml:space="preserve"> opportunity to file a minor curative amendment to its application and a petition for reconsideration, requesting reinstatement of the application </w:t>
      </w:r>
      <w:r w:rsidRPr="00613EED">
        <w:rPr>
          <w:i/>
          <w:iCs/>
          <w:szCs w:val="22"/>
        </w:rPr>
        <w:t>nunc</w:t>
      </w:r>
      <w:r w:rsidRPr="00613EED">
        <w:rPr>
          <w:i/>
          <w:iCs/>
          <w:szCs w:val="22"/>
        </w:rPr>
        <w:t xml:space="preserve"> pro </w:t>
      </w:r>
      <w:r w:rsidRPr="00613EED">
        <w:rPr>
          <w:i/>
          <w:iCs/>
          <w:szCs w:val="22"/>
        </w:rPr>
        <w:t>tunc</w:t>
      </w:r>
      <w:r w:rsidRPr="00613EED">
        <w:rPr>
          <w:szCs w:val="22"/>
        </w:rPr>
        <w:t>.</w:t>
      </w:r>
      <w:r>
        <w:rPr>
          <w:rStyle w:val="FootnoteReference"/>
          <w:szCs w:val="22"/>
        </w:rPr>
        <w:footnoteReference w:id="34"/>
      </w:r>
      <w:r>
        <w:rPr>
          <w:szCs w:val="22"/>
        </w:rPr>
        <w:t xml:space="preserve"> </w:t>
      </w:r>
      <w:r w:rsidR="00A37832">
        <w:rPr>
          <w:szCs w:val="22"/>
        </w:rPr>
        <w:t xml:space="preserve"> </w:t>
      </w:r>
      <w:r w:rsidRPr="00613EED">
        <w:rPr>
          <w:szCs w:val="22"/>
        </w:rPr>
        <w:t xml:space="preserve">The amendment and petition for reconsideration must be filed within 30 days of the dismissal of the application.  </w:t>
      </w:r>
      <w:r w:rsidR="00EA354A">
        <w:rPr>
          <w:szCs w:val="22"/>
        </w:rPr>
        <w:t>Any</w:t>
      </w:r>
      <w:r w:rsidRPr="00613EED">
        <w:rPr>
          <w:szCs w:val="22"/>
        </w:rPr>
        <w:t xml:space="preserve"> amendment must propose minor changes and comply with all relevant rules.</w:t>
      </w:r>
      <w:r>
        <w:rPr>
          <w:rStyle w:val="FootnoteReference"/>
          <w:szCs w:val="22"/>
        </w:rPr>
        <w:footnoteReference w:id="35"/>
      </w:r>
      <w:r w:rsidRPr="00613EED">
        <w:rPr>
          <w:szCs w:val="22"/>
        </w:rPr>
        <w:t xml:space="preserve">  The Bureau staff will not reinstate the application of an applicant that is unable to cure </w:t>
      </w:r>
      <w:r w:rsidRPr="00613EED">
        <w:rPr>
          <w:i/>
          <w:iCs/>
          <w:szCs w:val="22"/>
        </w:rPr>
        <w:t xml:space="preserve">all </w:t>
      </w:r>
      <w:r w:rsidRPr="00613EED">
        <w:rPr>
          <w:szCs w:val="22"/>
        </w:rPr>
        <w:t xml:space="preserve">the </w:t>
      </w:r>
      <w:r>
        <w:rPr>
          <w:szCs w:val="22"/>
        </w:rPr>
        <w:t xml:space="preserve">acceptability </w:t>
      </w:r>
      <w:r w:rsidRPr="00613EED">
        <w:rPr>
          <w:szCs w:val="22"/>
        </w:rPr>
        <w:t xml:space="preserve">defects (including any defects not previously identified by the Bureau staff). </w:t>
      </w:r>
    </w:p>
    <w:p w:rsidR="007E2248" w:rsidP="00EA354A" w14:paraId="40509C72" w14:textId="51F7A63D">
      <w:pPr>
        <w:tabs>
          <w:tab w:val="left" w:pos="1"/>
          <w:tab w:val="left" w:pos="720"/>
          <w:tab w:val="left" w:pos="1440"/>
          <w:tab w:val="right" w:pos="9360"/>
        </w:tabs>
        <w:rPr>
          <w:szCs w:val="22"/>
        </w:rPr>
      </w:pPr>
      <w:r w:rsidRPr="00613EED">
        <w:rPr>
          <w:szCs w:val="22"/>
        </w:rPr>
        <w:t xml:space="preserve"> </w:t>
      </w:r>
      <w:r>
        <w:rPr>
          <w:b/>
          <w:szCs w:val="22"/>
        </w:rPr>
        <w:tab/>
      </w:r>
    </w:p>
    <w:p w:rsidR="00772A04" w:rsidRPr="00EA354A" w:rsidP="00EA354A" w14:paraId="13554424" w14:textId="685645FD">
      <w:pPr>
        <w:ind w:firstLine="720"/>
        <w:rPr>
          <w:szCs w:val="22"/>
        </w:rPr>
      </w:pPr>
      <w:r w:rsidRPr="00EB65AC">
        <w:rPr>
          <w:szCs w:val="22"/>
        </w:rPr>
        <w:t>For additional information</w:t>
      </w:r>
      <w:r>
        <w:rPr>
          <w:szCs w:val="22"/>
        </w:rPr>
        <w:t>,</w:t>
      </w:r>
      <w:r w:rsidRPr="00EB65AC">
        <w:rPr>
          <w:szCs w:val="22"/>
        </w:rPr>
        <w:t xml:space="preserve"> contact</w:t>
      </w:r>
      <w:r>
        <w:rPr>
          <w:szCs w:val="22"/>
        </w:rPr>
        <w:t xml:space="preserve">:  James Bradshaw, </w:t>
      </w:r>
      <w:hyperlink r:id="rId6" w:history="1">
        <w:r w:rsidRPr="00852480">
          <w:rPr>
            <w:rStyle w:val="Hyperlink"/>
            <w:szCs w:val="22"/>
          </w:rPr>
          <w:t>James.Bradshaw@fcc.gov</w:t>
        </w:r>
      </w:hyperlink>
      <w:r>
        <w:rPr>
          <w:szCs w:val="22"/>
        </w:rPr>
        <w:t>;</w:t>
      </w:r>
      <w:r>
        <w:rPr>
          <w:szCs w:val="24"/>
        </w:rPr>
        <w:t xml:space="preserve"> Alexander Sanjenis, </w:t>
      </w:r>
      <w:hyperlink r:id="rId7" w:history="1">
        <w:r w:rsidRPr="00852480">
          <w:rPr>
            <w:rStyle w:val="Hyperlink"/>
            <w:szCs w:val="24"/>
          </w:rPr>
          <w:t>Alexander.Sanjenis@fcc.gov</w:t>
        </w:r>
      </w:hyperlink>
      <w:r>
        <w:rPr>
          <w:szCs w:val="24"/>
        </w:rPr>
        <w:t xml:space="preserve">; </w:t>
      </w:r>
      <w:r w:rsidR="00926E27">
        <w:rPr>
          <w:szCs w:val="24"/>
        </w:rPr>
        <w:t xml:space="preserve">Amy Van de Kerckhove, </w:t>
      </w:r>
      <w:hyperlink r:id="rId8" w:history="1">
        <w:r w:rsidRPr="00B87500" w:rsidR="00926E27">
          <w:rPr>
            <w:rStyle w:val="Hyperlink"/>
            <w:szCs w:val="24"/>
          </w:rPr>
          <w:t>Amy.Vandekerckhove@fcc.gov</w:t>
        </w:r>
      </w:hyperlink>
      <w:r w:rsidR="00926E27">
        <w:rPr>
          <w:szCs w:val="24"/>
        </w:rPr>
        <w:t xml:space="preserve">; </w:t>
      </w:r>
      <w:r>
        <w:rPr>
          <w:szCs w:val="24"/>
        </w:rPr>
        <w:t>or Lisa Scanlan,</w:t>
      </w:r>
      <w:r w:rsidRPr="00D07C29">
        <w:rPr>
          <w:szCs w:val="24"/>
        </w:rPr>
        <w:t xml:space="preserve"> </w:t>
      </w:r>
      <w:hyperlink r:id="rId9" w:history="1">
        <w:r w:rsidRPr="00B85007">
          <w:rPr>
            <w:rStyle w:val="Hyperlink"/>
            <w:szCs w:val="24"/>
          </w:rPr>
          <w:t>Lisa.Scanlan@fcc.gov</w:t>
        </w:r>
      </w:hyperlink>
      <w:r>
        <w:rPr>
          <w:szCs w:val="24"/>
        </w:rPr>
        <w:t xml:space="preserve"> </w:t>
      </w:r>
      <w:r w:rsidRPr="00D07C29">
        <w:rPr>
          <w:szCs w:val="24"/>
        </w:rPr>
        <w:t xml:space="preserve">of the Media Bureau, Audio Division, (202) 418-2700.  </w:t>
      </w:r>
      <w:bookmarkStart w:id="3" w:name="SR;25135"/>
      <w:bookmarkStart w:id="4" w:name="SR;25145"/>
      <w:bookmarkEnd w:id="3"/>
      <w:bookmarkEnd w:id="4"/>
    </w:p>
    <w:p w:rsidR="0068151E" w:rsidP="007F3E2F" w14:paraId="19F8D57A" w14:textId="77777777">
      <w:pPr>
        <w:jc w:val="center"/>
        <w:rPr>
          <w:b/>
        </w:rPr>
      </w:pPr>
    </w:p>
    <w:p w:rsidR="002F29B5" w:rsidRPr="00C22A18" w:rsidP="007F3E2F" w14:paraId="72C2A126" w14:textId="335689FF">
      <w:pPr>
        <w:jc w:val="center"/>
        <w:rPr>
          <w:b/>
        </w:rPr>
      </w:pPr>
      <w:r w:rsidRPr="00C22A18">
        <w:rPr>
          <w:b/>
        </w:rPr>
        <w:t>- FCC -</w:t>
      </w:r>
    </w:p>
    <w:p w:rsidR="002F29B5" w:rsidP="00757307" w14:paraId="2FAD354D" w14:textId="77777777">
      <w:pPr>
        <w:spacing w:after="200"/>
        <w:ind w:firstLine="720"/>
        <w:rPr>
          <w:szCs w:val="24"/>
        </w:rPr>
      </w:pPr>
    </w:p>
    <w:p w:rsidR="002F29B5" w:rsidRPr="00854B58" w:rsidP="00757307" w14:paraId="22E2A69D" w14:textId="77777777">
      <w:pPr>
        <w:jc w:val="center"/>
        <w:rPr>
          <w:b/>
          <w:sz w:val="24"/>
        </w:rPr>
      </w:pPr>
    </w:p>
    <w:sectPr w:rsidSect="00BD3C3B">
      <w:headerReference w:type="default" r:id="rId10"/>
      <w:footerReference w:type="even" r:id="rId11"/>
      <w:footerReference w:type="default" r:id="rId12"/>
      <w:headerReference w:type="first" r:id="rId13"/>
      <w:footerReference w:type="first" r:id="rId14"/>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B5"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F29B5"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B5"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2F29B5" w14:paraId="76ACA669" w14:textId="77777777">
    <w:pPr>
      <w:spacing w:before="140" w:line="100" w:lineRule="exact"/>
      <w:rPr>
        <w:sz w:val="10"/>
      </w:rPr>
    </w:pPr>
  </w:p>
  <w:p w:rsidR="002F29B5" w14:paraId="5878F18B" w14:textId="77777777">
    <w:pPr>
      <w:suppressAutoHyphens/>
      <w:spacing w:line="227" w:lineRule="auto"/>
    </w:pPr>
  </w:p>
  <w:p w:rsidR="002F29B5"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B5"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C3B" w14:paraId="6943E8E6" w14:textId="77777777">
      <w:r>
        <w:separator/>
      </w:r>
    </w:p>
  </w:footnote>
  <w:footnote w:type="continuationSeparator" w:id="1">
    <w:p w:rsidR="00BD3C3B" w14:paraId="68018344" w14:textId="77777777">
      <w:pPr>
        <w:rPr>
          <w:sz w:val="20"/>
        </w:rPr>
      </w:pPr>
      <w:r>
        <w:rPr>
          <w:sz w:val="20"/>
        </w:rPr>
        <w:t xml:space="preserve">(Continued from previous page)  </w:t>
      </w:r>
      <w:r>
        <w:rPr>
          <w:sz w:val="20"/>
        </w:rPr>
        <w:separator/>
      </w:r>
    </w:p>
  </w:footnote>
  <w:footnote w:type="continuationNotice" w:id="2">
    <w:p w:rsidR="00BD3C3B" w14:paraId="6649F078" w14:textId="77777777">
      <w:pPr>
        <w:rPr>
          <w:sz w:val="20"/>
        </w:rPr>
      </w:pPr>
      <w:r>
        <w:rPr>
          <w:sz w:val="20"/>
        </w:rPr>
        <w:t>(continued….)</w:t>
      </w:r>
    </w:p>
  </w:footnote>
  <w:footnote w:id="3">
    <w:p w:rsidR="006A3FB9" w:rsidRPr="00E21F4D" w14:paraId="72E473E4" w14:textId="32CD61CE">
      <w:pPr>
        <w:pStyle w:val="FootnoteText"/>
        <w:rPr>
          <w:i/>
          <w:iCs/>
        </w:rPr>
      </w:pPr>
      <w:r>
        <w:rPr>
          <w:rStyle w:val="FootnoteReference"/>
        </w:rPr>
        <w:footnoteRef/>
      </w:r>
      <w:r>
        <w:t xml:space="preserve"> </w:t>
      </w:r>
      <w:r w:rsidR="006F3DA5">
        <w:rPr>
          <w:i/>
          <w:iCs/>
        </w:rPr>
        <w:t>Media Bureau Announces Filing Procedures and Requirements for November 1 – November 8, 2023, Low Power FM Filing Window</w:t>
      </w:r>
      <w:r w:rsidR="006F3DA5">
        <w:t>, Public Notice, DA 23-642 (MB July 31, 2023)</w:t>
      </w:r>
      <w:r w:rsidR="002C0BCD">
        <w:t xml:space="preserve"> (</w:t>
      </w:r>
      <w:r w:rsidR="002C0BCD">
        <w:rPr>
          <w:i/>
          <w:iCs/>
        </w:rPr>
        <w:t>LPFM Procedures Notice</w:t>
      </w:r>
      <w:r w:rsidR="002C0BCD">
        <w:t>)</w:t>
      </w:r>
      <w:r w:rsidR="006F3DA5">
        <w:t xml:space="preserve">; </w:t>
      </w:r>
      <w:r w:rsidR="00E21F4D">
        <w:rPr>
          <w:i/>
          <w:iCs/>
        </w:rPr>
        <w:t>Media Bureau Announces Revised Dates for LPFM New Station Application Filing Window; Window Open from December 6, 2023 to December</w:t>
      </w:r>
      <w:r w:rsidR="006A30E0">
        <w:rPr>
          <w:i/>
          <w:iCs/>
        </w:rPr>
        <w:t xml:space="preserve"> 13, 2023, </w:t>
      </w:r>
      <w:r w:rsidR="006A30E0">
        <w:t>Public Notice, DA 23-</w:t>
      </w:r>
      <w:r w:rsidR="00BB4D58">
        <w:t>984</w:t>
      </w:r>
      <w:r w:rsidR="006A30E0">
        <w:t xml:space="preserve"> (MB </w:t>
      </w:r>
      <w:r w:rsidR="00BB4D58">
        <w:t xml:space="preserve">October 17, </w:t>
      </w:r>
      <w:r w:rsidR="006A30E0">
        <w:t>2023).</w:t>
      </w:r>
      <w:r w:rsidR="00E21F4D">
        <w:rPr>
          <w:i/>
          <w:iCs/>
        </w:rPr>
        <w:t xml:space="preserve"> </w:t>
      </w:r>
    </w:p>
  </w:footnote>
  <w:footnote w:id="4">
    <w:p w:rsidR="00D2699C" w:rsidRPr="004A11B6" w:rsidP="00D2699C" w14:paraId="241DB76A" w14:textId="27E9951D">
      <w:pPr>
        <w:pStyle w:val="FootnoteText"/>
      </w:pPr>
      <w:r>
        <w:rPr>
          <w:rStyle w:val="FootnoteReference"/>
        </w:rPr>
        <w:footnoteRef/>
      </w:r>
      <w:r>
        <w:t xml:space="preserve"> </w:t>
      </w:r>
      <w:r w:rsidRPr="00F07904" w:rsidR="00F07904">
        <w:rPr>
          <w:i/>
          <w:iCs/>
        </w:rPr>
        <w:t>Media Bureau Announces Close of LPFM New Station Filing Window and Temporary Filing Freeze on Amendments to Applications Submitted in the December 2023 Filing Window</w:t>
      </w:r>
      <w:r w:rsidR="00F07904">
        <w:t>, Public Notice, DA 23-1165 (MB Dec. 15, 2023)</w:t>
      </w:r>
      <w:r w:rsidR="00BA1268">
        <w:t xml:space="preserve"> (</w:t>
      </w:r>
      <w:r w:rsidRPr="00BA1268" w:rsidR="00BA1268">
        <w:rPr>
          <w:i/>
          <w:iCs/>
        </w:rPr>
        <w:t>LPFM Closing Notice</w:t>
      </w:r>
      <w:r w:rsidR="00BA1268">
        <w:t>)</w:t>
      </w:r>
      <w:r w:rsidR="00F07904">
        <w:t xml:space="preserve">.  </w:t>
      </w:r>
      <w:r w:rsidR="003D1AFA">
        <w:t>A</w:t>
      </w:r>
      <w:r>
        <w:t xml:space="preserve">pplicants with correctable defects will </w:t>
      </w:r>
      <w:r w:rsidR="003D1AFA">
        <w:t xml:space="preserve">now be </w:t>
      </w:r>
      <w:r>
        <w:t xml:space="preserve">able to file curative amendments pursuant to </w:t>
      </w:r>
      <w:r w:rsidR="003D1AFA">
        <w:t>our</w:t>
      </w:r>
      <w:r>
        <w:t xml:space="preserve"> established procedures</w:t>
      </w:r>
      <w:r w:rsidR="00A80160">
        <w:t xml:space="preserve"> and the guidelines discussed in this public notice</w:t>
      </w:r>
      <w:r w:rsidR="003D1AFA">
        <w:t xml:space="preserve">. </w:t>
      </w:r>
      <w:r>
        <w:t xml:space="preserve"> </w:t>
      </w:r>
      <w:r w:rsidRPr="00A12D2F">
        <w:rPr>
          <w:i/>
          <w:iCs/>
        </w:rPr>
        <w:t xml:space="preserve">See </w:t>
      </w:r>
      <w:r w:rsidR="00A80160">
        <w:rPr>
          <w:i/>
          <w:iCs/>
        </w:rPr>
        <w:t xml:space="preserve">also </w:t>
      </w:r>
      <w:r w:rsidRPr="00A12D2F">
        <w:rPr>
          <w:i/>
          <w:iCs/>
        </w:rPr>
        <w:t xml:space="preserve">Commission States Future Policy on Incomplete and Patently Defective AM and FM Construction Permit Applications, </w:t>
      </w:r>
      <w:r w:rsidRPr="00A12D2F">
        <w:t>Public Notice, 56 RR 2d 776 (1984)</w:t>
      </w:r>
      <w:r w:rsidR="0097045E">
        <w:t>.</w:t>
      </w:r>
      <w:r>
        <w:t xml:space="preserve">  </w:t>
      </w:r>
      <w:r w:rsidR="0097045E">
        <w:t>A</w:t>
      </w:r>
      <w:r>
        <w:t>pplicants may not amend their applications to increase their comparative point total.</w:t>
      </w:r>
      <w:r w:rsidR="00BA1268">
        <w:t xml:space="preserve"> </w:t>
      </w:r>
    </w:p>
  </w:footnote>
  <w:footnote w:id="5">
    <w:p w:rsidR="00CD10DD" w:rsidRPr="00CD10DD" w14:paraId="772EE80A" w14:textId="5869E117">
      <w:pPr>
        <w:pStyle w:val="FootnoteText"/>
      </w:pPr>
      <w:r>
        <w:rPr>
          <w:rStyle w:val="FootnoteReference"/>
        </w:rPr>
        <w:footnoteRef/>
      </w:r>
      <w:r>
        <w:t xml:space="preserve"> The Commission will compare </w:t>
      </w:r>
      <w:r w:rsidRPr="003060C8">
        <w:rPr>
          <w:szCs w:val="22"/>
          <w:shd w:val="clear" w:color="auto" w:fill="FFFFFF"/>
        </w:rPr>
        <w:t xml:space="preserve">MX </w:t>
      </w:r>
      <w:r>
        <w:rPr>
          <w:szCs w:val="22"/>
          <w:shd w:val="clear" w:color="auto" w:fill="FFFFFF"/>
        </w:rPr>
        <w:t>applications</w:t>
      </w:r>
      <w:r w:rsidRPr="003060C8">
        <w:rPr>
          <w:szCs w:val="22"/>
          <w:shd w:val="clear" w:color="auto" w:fill="FFFFFF"/>
        </w:rPr>
        <w:t xml:space="preserve"> under the LPFM point system</w:t>
      </w:r>
      <w:r>
        <w:rPr>
          <w:szCs w:val="22"/>
          <w:shd w:val="clear" w:color="auto" w:fill="FFFFFF"/>
        </w:rPr>
        <w:t xml:space="preserve"> and </w:t>
      </w:r>
      <w:r w:rsidRPr="003060C8">
        <w:rPr>
          <w:szCs w:val="22"/>
          <w:shd w:val="clear" w:color="auto" w:fill="FFFFFF"/>
        </w:rPr>
        <w:t>tentatively select the application(s) with the highest point total from each MX group for grant</w:t>
      </w:r>
      <w:r>
        <w:rPr>
          <w:szCs w:val="22"/>
          <w:shd w:val="clear" w:color="auto" w:fill="FFFFFF"/>
        </w:rPr>
        <w:t xml:space="preserve">.  </w:t>
      </w:r>
      <w:r>
        <w:rPr>
          <w:i/>
          <w:iCs/>
          <w:szCs w:val="22"/>
          <w:shd w:val="clear" w:color="auto" w:fill="FFFFFF"/>
        </w:rPr>
        <w:t xml:space="preserve">See </w:t>
      </w:r>
      <w:r>
        <w:rPr>
          <w:szCs w:val="22"/>
          <w:shd w:val="clear" w:color="auto" w:fill="FFFFFF"/>
        </w:rPr>
        <w:t>47 CFR § 73.</w:t>
      </w:r>
      <w:r w:rsidR="008B53AB">
        <w:rPr>
          <w:szCs w:val="22"/>
          <w:shd w:val="clear" w:color="auto" w:fill="FFFFFF"/>
        </w:rPr>
        <w:t>872.</w:t>
      </w:r>
    </w:p>
  </w:footnote>
  <w:footnote w:id="6">
    <w:p w:rsidR="009249E1" w14:paraId="5602614F" w14:textId="0532B172">
      <w:pPr>
        <w:pStyle w:val="FootnoteText"/>
      </w:pPr>
      <w:r>
        <w:rPr>
          <w:rStyle w:val="FootnoteReference"/>
        </w:rPr>
        <w:footnoteRef/>
      </w:r>
      <w:r>
        <w:t xml:space="preserve"> The majority of the “accepted for filing” LMS Applications Public Notices were released between January 2, 2024 and January 22, 2024.  </w:t>
      </w:r>
    </w:p>
  </w:footnote>
  <w:footnote w:id="7">
    <w:p w:rsidR="00336075" w:rsidRPr="007041B6" w14:paraId="589667BC" w14:textId="70627035">
      <w:pPr>
        <w:pStyle w:val="FootnoteText"/>
      </w:pPr>
      <w:r w:rsidRPr="007041B6">
        <w:rPr>
          <w:rStyle w:val="FootnoteReference"/>
          <w:sz w:val="20"/>
        </w:rPr>
        <w:footnoteRef/>
      </w:r>
      <w:r w:rsidRPr="007041B6">
        <w:t xml:space="preserve"> 47 CFR § 73.807.</w:t>
      </w:r>
    </w:p>
  </w:footnote>
  <w:footnote w:id="8">
    <w:p w:rsidR="00BC66BB" w14:paraId="028A0293" w14:textId="7B0DB059">
      <w:pPr>
        <w:pStyle w:val="FootnoteText"/>
      </w:pPr>
      <w:r>
        <w:rPr>
          <w:rStyle w:val="FootnoteReference"/>
        </w:rPr>
        <w:footnoteRef/>
      </w:r>
      <w:r>
        <w:t xml:space="preserve"> Although settlement</w:t>
      </w:r>
      <w:r w:rsidR="00C639EB">
        <w:t xml:space="preserve"> and technical amendments </w:t>
      </w:r>
      <w:r>
        <w:t xml:space="preserve">submitted during the 60-day period will receive expedited processing, MX applicants can continue to submit settlements </w:t>
      </w:r>
      <w:r w:rsidR="00C639EB">
        <w:t xml:space="preserve">and technical amendments </w:t>
      </w:r>
      <w:r>
        <w:t>at any time after the release of an MX Group PN.</w:t>
      </w:r>
    </w:p>
  </w:footnote>
  <w:footnote w:id="9">
    <w:p w:rsidR="000C1E73" w:rsidRPr="001851D1" w:rsidP="000C1E73" w14:paraId="5C4A9F50" w14:textId="0F787154">
      <w:pPr>
        <w:pStyle w:val="FootnoteText"/>
      </w:pPr>
      <w:r>
        <w:rPr>
          <w:rStyle w:val="FootnoteReference"/>
        </w:rPr>
        <w:footnoteRef/>
      </w:r>
      <w:r>
        <w:t xml:space="preserve"> </w:t>
      </w:r>
      <w:r w:rsidR="001D57F0">
        <w:rPr>
          <w:i/>
          <w:iCs/>
        </w:rPr>
        <w:t xml:space="preserve">See </w:t>
      </w:r>
      <w:r w:rsidR="001D57F0">
        <w:t>47 CFR § 73.872.</w:t>
      </w:r>
    </w:p>
  </w:footnote>
  <w:footnote w:id="10">
    <w:p w:rsidR="00071B0E" w:rsidRPr="007E2248" w:rsidP="00071B0E" w14:paraId="4F12CD2E" w14:textId="19592CF6">
      <w:pPr>
        <w:spacing w:after="120"/>
        <w:rPr>
          <w:sz w:val="20"/>
        </w:rPr>
      </w:pPr>
      <w:r w:rsidRPr="007041B6">
        <w:rPr>
          <w:rStyle w:val="FootnoteReference"/>
          <w:sz w:val="20"/>
        </w:rPr>
        <w:footnoteRef/>
      </w:r>
      <w:r w:rsidRPr="007041B6">
        <w:rPr>
          <w:sz w:val="20"/>
        </w:rPr>
        <w:t xml:space="preserve"> We will process any settlement achieved through technical amendment(s) and/or dismissal(s) which results in our ability to grant at least one singleton application.  </w:t>
      </w:r>
      <w:r w:rsidRPr="007041B6">
        <w:rPr>
          <w:rStyle w:val="documentbody1"/>
          <w:rFonts w:ascii="Times New Roman" w:hAnsi="Times New Roman"/>
          <w:color w:val="000000"/>
          <w:sz w:val="20"/>
          <w:szCs w:val="20"/>
        </w:rPr>
        <w:t xml:space="preserve">In the event that the staff determines that a settlement complies with the Commission’s </w:t>
      </w:r>
      <w:r w:rsidR="00CF782A">
        <w:rPr>
          <w:rStyle w:val="documentbody1"/>
          <w:rFonts w:ascii="Times New Roman" w:hAnsi="Times New Roman"/>
          <w:color w:val="000000"/>
          <w:sz w:val="20"/>
          <w:szCs w:val="20"/>
        </w:rPr>
        <w:t>r</w:t>
      </w:r>
      <w:r w:rsidRPr="007041B6">
        <w:rPr>
          <w:rStyle w:val="documentbody1"/>
          <w:rFonts w:ascii="Times New Roman" w:hAnsi="Times New Roman"/>
          <w:color w:val="000000"/>
          <w:sz w:val="20"/>
          <w:szCs w:val="20"/>
        </w:rPr>
        <w:t>ules, we will issue a Public Notice accepting for filing all applications proposed for grant pursuant to the settlement.  Petitions to deny these applications may be filed within thirty (30) days of this subsequent Public Notice.</w:t>
      </w:r>
      <w:r w:rsidRPr="007E2248">
        <w:rPr>
          <w:sz w:val="20"/>
        </w:rPr>
        <w:t xml:space="preserve">  </w:t>
      </w:r>
    </w:p>
  </w:footnote>
  <w:footnote w:id="11">
    <w:p w:rsidR="008E0D95" w:rsidP="008E0D95" w14:paraId="27596C1B" w14:textId="77777777">
      <w:pPr>
        <w:pStyle w:val="FootnoteText"/>
      </w:pPr>
      <w:r w:rsidRPr="007E2248">
        <w:rPr>
          <w:rStyle w:val="FootnoteReference"/>
          <w:sz w:val="20"/>
        </w:rPr>
        <w:footnoteRef/>
      </w:r>
      <w:r w:rsidRPr="007E2248">
        <w:t xml:space="preserve"> 47 CFR § 73.3525.</w:t>
      </w:r>
    </w:p>
  </w:footnote>
  <w:footnote w:id="12">
    <w:p w:rsidR="008E0D95" w:rsidRPr="003E4B3E" w:rsidP="008E0D95" w14:paraId="62235389" w14:textId="77777777">
      <w:pPr>
        <w:pStyle w:val="FootnoteText"/>
        <w:spacing w:after="0"/>
      </w:pPr>
      <w:r w:rsidRPr="003E4B3E">
        <w:rPr>
          <w:rStyle w:val="FootnoteReference"/>
          <w:sz w:val="20"/>
        </w:rPr>
        <w:footnoteRef/>
      </w:r>
      <w:r w:rsidRPr="003E4B3E">
        <w:t xml:space="preserve"> “Legitimate and prudent expenses” are those expenses reasonably incurred by an applicant in preparing, filing, prosecuting, and settling its application for which reimbursement is being sought.  47 CFR § 73.3525(</w:t>
      </w:r>
      <w:r>
        <w:t>h</w:t>
      </w:r>
      <w:r w:rsidRPr="003E4B3E">
        <w:t xml:space="preserve">). </w:t>
      </w:r>
    </w:p>
  </w:footnote>
  <w:footnote w:id="13">
    <w:p w:rsidR="008E0D95" w:rsidRPr="003E4B3E" w:rsidP="008E0D95" w14:paraId="0048A4C9" w14:textId="77777777">
      <w:pPr>
        <w:pStyle w:val="FootnoteText"/>
        <w:spacing w:after="0"/>
      </w:pPr>
    </w:p>
    <w:p w:rsidR="008E0D95" w:rsidP="008E0D95" w14:paraId="7DE669B7" w14:textId="5477A691">
      <w:pPr>
        <w:pStyle w:val="FootnoteText"/>
        <w:spacing w:after="0"/>
      </w:pPr>
      <w:r w:rsidRPr="003E4B3E">
        <w:rPr>
          <w:rStyle w:val="FootnoteReference"/>
          <w:sz w:val="20"/>
        </w:rPr>
        <w:footnoteRef/>
      </w:r>
      <w:r w:rsidRPr="003E4B3E">
        <w:t xml:space="preserve"> </w:t>
      </w:r>
      <w:r w:rsidRPr="003E4B3E">
        <w:rPr>
          <w:i/>
        </w:rPr>
        <w:t>See</w:t>
      </w:r>
      <w:r w:rsidRPr="003E4B3E">
        <w:t xml:space="preserve"> 47 CFR § 73.3525.  </w:t>
      </w:r>
    </w:p>
    <w:p w:rsidR="008E0D95" w:rsidRPr="003E4B3E" w:rsidP="008E0D95" w14:paraId="0B728241" w14:textId="77777777">
      <w:pPr>
        <w:pStyle w:val="FootnoteText"/>
        <w:spacing w:after="0"/>
      </w:pPr>
    </w:p>
  </w:footnote>
  <w:footnote w:id="14">
    <w:p w:rsidR="00907332" w:rsidP="00907332" w14:paraId="677FED78" w14:textId="77777777">
      <w:pPr>
        <w:pStyle w:val="FootnoteText"/>
      </w:pPr>
      <w:r>
        <w:rPr>
          <w:rStyle w:val="FootnoteReference"/>
        </w:rPr>
        <w:footnoteRef/>
      </w:r>
      <w:r>
        <w:t xml:space="preserve"> A technical amendment is one in which an applicant removes itself from the MX group to achieve a grant by making minor engineering changes to its own application, without affecting the viability of any of the other applicants to compete for a second station.</w:t>
      </w:r>
    </w:p>
  </w:footnote>
  <w:footnote w:id="15">
    <w:p w:rsidR="005C666C" w:rsidP="005C666C" w14:paraId="69C0799E" w14:textId="77777777">
      <w:pPr>
        <w:pStyle w:val="FootnoteText"/>
      </w:pPr>
      <w:r>
        <w:rPr>
          <w:rStyle w:val="FootnoteReference"/>
        </w:rPr>
        <w:footnoteRef/>
      </w:r>
      <w:r>
        <w:t xml:space="preserve"> </w:t>
      </w:r>
      <w:r>
        <w:rPr>
          <w:i/>
        </w:rPr>
        <w:t xml:space="preserve">See </w:t>
      </w:r>
      <w:r>
        <w:t>47 CFR § 73.853(b).</w:t>
      </w:r>
    </w:p>
  </w:footnote>
  <w:footnote w:id="16">
    <w:p w:rsidR="008E220E" w:rsidRPr="008E220E" w14:paraId="126D3B2B" w14:textId="006D004E">
      <w:pPr>
        <w:pStyle w:val="FootnoteText"/>
        <w:rPr>
          <w:b/>
          <w:bCs/>
        </w:rPr>
      </w:pPr>
      <w:r>
        <w:rPr>
          <w:rStyle w:val="FootnoteReference"/>
        </w:rPr>
        <w:footnoteRef/>
      </w:r>
      <w:r>
        <w:t xml:space="preserve"> 47 CFR § 73.87</w:t>
      </w:r>
      <w:r w:rsidR="00D2113E">
        <w:t>1</w:t>
      </w:r>
      <w:r>
        <w:t>(c)(1).</w:t>
      </w:r>
    </w:p>
  </w:footnote>
  <w:footnote w:id="17">
    <w:p w:rsidR="00D0000B" w:rsidRPr="00D0000B" w14:paraId="35D920CE" w14:textId="58D32CE5">
      <w:pPr>
        <w:pStyle w:val="FootnoteText"/>
        <w:rPr>
          <w:i/>
          <w:iCs/>
        </w:rPr>
      </w:pPr>
      <w:r>
        <w:rPr>
          <w:rStyle w:val="FootnoteReference"/>
        </w:rPr>
        <w:footnoteRef/>
      </w:r>
      <w:r>
        <w:t xml:space="preserve"> </w:t>
      </w:r>
      <w:r>
        <w:rPr>
          <w:i/>
          <w:iCs/>
        </w:rPr>
        <w:t xml:space="preserve">See </w:t>
      </w:r>
      <w:r>
        <w:t xml:space="preserve">47 CFR § 73.871(c)(3).  All ownership changes in a governmental applicant are considered minor.  </w:t>
      </w:r>
      <w:r>
        <w:rPr>
          <w:i/>
          <w:iCs/>
        </w:rPr>
        <w:t>Id.</w:t>
      </w:r>
    </w:p>
  </w:footnote>
  <w:footnote w:id="18">
    <w:p w:rsidR="005C666C" w:rsidP="005C666C" w14:paraId="045F0E51" w14:textId="70B15114">
      <w:pPr>
        <w:pStyle w:val="FootnoteText"/>
      </w:pPr>
      <w:r>
        <w:rPr>
          <w:rStyle w:val="FootnoteReference"/>
        </w:rPr>
        <w:footnoteRef/>
      </w:r>
      <w:r>
        <w:t xml:space="preserve"> </w:t>
      </w:r>
      <w:r>
        <w:rPr>
          <w:i/>
        </w:rPr>
        <w:t>See</w:t>
      </w:r>
      <w:r>
        <w:t xml:space="preserve"> 47 CFR §73.3525(</w:t>
      </w:r>
      <w:r w:rsidR="00675B74">
        <w:t>b</w:t>
      </w:r>
      <w:r>
        <w:t xml:space="preserve">). </w:t>
      </w:r>
    </w:p>
  </w:footnote>
  <w:footnote w:id="19">
    <w:p w:rsidR="00336075" w:rsidRPr="007041B6" w14:paraId="541F1DF0" w14:textId="108ABEE4">
      <w:pPr>
        <w:pStyle w:val="FootnoteText"/>
        <w:rPr>
          <w:b/>
          <w:bCs/>
        </w:rPr>
      </w:pPr>
      <w:r w:rsidRPr="007041B6">
        <w:rPr>
          <w:rStyle w:val="FootnoteReference"/>
          <w:sz w:val="20"/>
        </w:rPr>
        <w:footnoteRef/>
      </w:r>
      <w:r w:rsidRPr="007041B6">
        <w:t xml:space="preserve"> 47 CFR §</w:t>
      </w:r>
      <w:r w:rsidRPr="007041B6" w:rsidR="00587592">
        <w:t>§</w:t>
      </w:r>
      <w:r w:rsidRPr="007041B6">
        <w:t xml:space="preserve"> 73.807</w:t>
      </w:r>
      <w:r w:rsidR="00587592">
        <w:t>, 73.870(c)</w:t>
      </w:r>
      <w:r w:rsidR="003D38E3">
        <w:t>.</w:t>
      </w:r>
    </w:p>
  </w:footnote>
  <w:footnote w:id="20">
    <w:p w:rsidR="00F36734" w:rsidRPr="00F36734" w14:paraId="43150359" w14:textId="0EF44FED">
      <w:pPr>
        <w:pStyle w:val="FootnoteText"/>
      </w:pPr>
      <w:r>
        <w:rPr>
          <w:rStyle w:val="FootnoteReference"/>
        </w:rPr>
        <w:footnoteRef/>
      </w:r>
      <w:r>
        <w:t xml:space="preserve"> </w:t>
      </w:r>
      <w:r>
        <w:rPr>
          <w:i/>
          <w:iCs/>
        </w:rPr>
        <w:t xml:space="preserve">See </w:t>
      </w:r>
      <w:r>
        <w:t xml:space="preserve">47 CFR </w:t>
      </w:r>
      <w:r w:rsidRPr="002B5497">
        <w:t>§ 73.872</w:t>
      </w:r>
      <w:r>
        <w:t xml:space="preserve">(b).  </w:t>
      </w:r>
      <w:r w:rsidRPr="003060C8">
        <w:rPr>
          <w:szCs w:val="22"/>
          <w:shd w:val="clear" w:color="auto" w:fill="FFFFFF"/>
        </w:rPr>
        <w:t xml:space="preserve">The LPFM point system awards a maximum of </w:t>
      </w:r>
      <w:r w:rsidRPr="003060C8">
        <w:rPr>
          <w:szCs w:val="22"/>
        </w:rPr>
        <w:t xml:space="preserve">six merit points, based on six criteria, with one point awarded under each criterion:  (1) established community presence of at least two years; (2) commitment to originate local programming; (3) commitment to maintain a main studio; (4) commitment </w:t>
      </w:r>
      <w:r>
        <w:rPr>
          <w:szCs w:val="22"/>
        </w:rPr>
        <w:t xml:space="preserve">both </w:t>
      </w:r>
      <w:r w:rsidRPr="003060C8">
        <w:rPr>
          <w:szCs w:val="22"/>
        </w:rPr>
        <w:t>to originate local programming and to maintain a main studio; (5) diversity of ownership; and (6) Tribal applicants serving Tribal lands</w:t>
      </w:r>
      <w:r>
        <w:t>.</w:t>
      </w:r>
    </w:p>
  </w:footnote>
  <w:footnote w:id="21">
    <w:p w:rsidR="00815BAA" w:rsidP="00815BAA" w14:paraId="5E726DD6" w14:textId="5B587408">
      <w:pPr>
        <w:pStyle w:val="FootnoteText"/>
      </w:pPr>
      <w:r>
        <w:rPr>
          <w:rStyle w:val="FootnoteReference"/>
        </w:rPr>
        <w:footnoteRef/>
      </w:r>
      <w:r>
        <w:t xml:space="preserve"> </w:t>
      </w:r>
      <w:r w:rsidRPr="002B5497">
        <w:t>47 CFR § 73.872(</w:t>
      </w:r>
      <w:r>
        <w:t>c</w:t>
      </w:r>
      <w:r w:rsidRPr="002B5497">
        <w:t>)</w:t>
      </w:r>
      <w:r>
        <w:t>.</w:t>
      </w:r>
      <w:r w:rsidR="00441521">
        <w:t xml:space="preserve"> This limitation on the number of applicants included in voluntary time-sharing agreements also will apply to any time-sharing agreement incorporated in an overall settlement under 47 CFR </w:t>
      </w:r>
      <w:r w:rsidRPr="002B5497" w:rsidR="00441521">
        <w:t>§</w:t>
      </w:r>
      <w:r w:rsidR="00441521">
        <w:t xml:space="preserve"> 73.872(e). </w:t>
      </w:r>
    </w:p>
  </w:footnote>
  <w:footnote w:id="22">
    <w:p w:rsidR="00815BAA" w:rsidRPr="005F5DB1" w:rsidP="00815BAA" w14:paraId="39EFBFC0" w14:textId="1F391E10">
      <w:pPr>
        <w:pStyle w:val="FootnoteText"/>
      </w:pPr>
      <w:r w:rsidRPr="005F5DB1">
        <w:rPr>
          <w:rStyle w:val="FootnoteReference"/>
          <w:sz w:val="20"/>
        </w:rPr>
        <w:footnoteRef/>
      </w:r>
      <w:r w:rsidRPr="005F5DB1">
        <w:t xml:space="preserve"> </w:t>
      </w:r>
      <w:r w:rsidRPr="005F5DB1">
        <w:rPr>
          <w:i/>
          <w:iCs/>
        </w:rPr>
        <w:t>Id.;</w:t>
      </w:r>
      <w:r w:rsidRPr="005F5DB1">
        <w:t xml:space="preserve"> </w:t>
      </w:r>
      <w:r w:rsidRPr="005F5DB1">
        <w:rPr>
          <w:i/>
          <w:iCs/>
        </w:rPr>
        <w:t xml:space="preserve">see also </w:t>
      </w:r>
      <w:r w:rsidR="00CF782A">
        <w:rPr>
          <w:i/>
          <w:iCs/>
        </w:rPr>
        <w:t>R</w:t>
      </w:r>
      <w:r w:rsidRPr="00D14D73" w:rsidR="00CF782A">
        <w:rPr>
          <w:i/>
          <w:iCs/>
        </w:rPr>
        <w:t>eexamination of the Comparative Standards and Procedures for Licensing Noncommercial Educational Broadcast Stations and Low Power FM Stations,</w:t>
      </w:r>
      <w:r w:rsidRPr="00D14D73" w:rsidR="00CF782A">
        <w:t xml:space="preserve"> Report and Order, 34 FCC </w:t>
      </w:r>
      <w:r w:rsidRPr="00D14D73" w:rsidR="00CF782A">
        <w:t>Rcd</w:t>
      </w:r>
      <w:r w:rsidRPr="00D14D73" w:rsidR="00CF782A">
        <w:t xml:space="preserve"> 12519</w:t>
      </w:r>
      <w:r w:rsidR="00CF782A">
        <w:t>, 12535</w:t>
      </w:r>
      <w:r w:rsidRPr="00D14D73" w:rsidR="00CF782A">
        <w:t xml:space="preserve"> (2019)</w:t>
      </w:r>
      <w:r w:rsidR="00CF782A">
        <w:t xml:space="preserve"> (</w:t>
      </w:r>
      <w:r w:rsidR="00CF782A">
        <w:rPr>
          <w:i/>
          <w:iCs/>
        </w:rPr>
        <w:t>NCE LPFM Report and Order</w:t>
      </w:r>
      <w:r w:rsidR="00CF782A">
        <w:t>)</w:t>
      </w:r>
      <w:r w:rsidR="002C0BCD">
        <w:rPr>
          <w:i/>
          <w:iCs/>
        </w:rPr>
        <w:t xml:space="preserve"> </w:t>
      </w:r>
      <w:r w:rsidRPr="005F5DB1">
        <w:t xml:space="preserve">(amending the rules to permit LPFM </w:t>
      </w:r>
      <w:r w:rsidR="00E50DB3">
        <w:t xml:space="preserve">applicants to discuss </w:t>
      </w:r>
      <w:r w:rsidRPr="005F5DB1">
        <w:t xml:space="preserve"> point aggregation </w:t>
      </w:r>
      <w:r w:rsidR="00E50DB3">
        <w:t>and time-sharing arrangements</w:t>
      </w:r>
      <w:r w:rsidRPr="005F5DB1">
        <w:t xml:space="preserve"> during the application process).  The Commission explained that “by allowing organizations interested in filing an LPFM application the leeway to communicate with other eligible organizations, they can maximize their chances of acquiring LPFM construction permits and explore potential time-share construction and operating efficiencies</w:t>
      </w:r>
      <w:r>
        <w:t xml:space="preserve">.”  </w:t>
      </w:r>
      <w:r>
        <w:rPr>
          <w:i/>
          <w:iCs/>
        </w:rPr>
        <w:t>Id.</w:t>
      </w:r>
      <w:r>
        <w:t xml:space="preserve">  </w:t>
      </w:r>
      <w:r w:rsidRPr="005F5DB1">
        <w:t xml:space="preserve">  </w:t>
      </w:r>
    </w:p>
  </w:footnote>
  <w:footnote w:id="23">
    <w:p w:rsidR="00815BAA" w:rsidP="00815BAA" w14:paraId="3D9BF481" w14:textId="441D8808">
      <w:pPr>
        <w:pStyle w:val="FootnoteText"/>
      </w:pPr>
      <w:r>
        <w:rPr>
          <w:rStyle w:val="FootnoteReference"/>
        </w:rPr>
        <w:footnoteRef/>
      </w:r>
      <w:r>
        <w:t xml:space="preserve"> 47 CFR </w:t>
      </w:r>
      <w:r w:rsidRPr="002B5497">
        <w:t>73.872(</w:t>
      </w:r>
      <w:r>
        <w:t>c</w:t>
      </w:r>
      <w:r w:rsidRPr="002B5497">
        <w:t>)</w:t>
      </w:r>
      <w:r>
        <w:t xml:space="preserve">.  </w:t>
      </w:r>
      <w:r w:rsidRPr="002475A3" w:rsidR="005067F7">
        <w:rPr>
          <w:i/>
          <w:iCs/>
        </w:rPr>
        <w:t>NCE LPFM Report and Order</w:t>
      </w:r>
      <w:r w:rsidR="005067F7">
        <w:t xml:space="preserve">, 34 FCC </w:t>
      </w:r>
      <w:r w:rsidR="005067F7">
        <w:t>Rcd</w:t>
      </w:r>
      <w:r w:rsidR="005067F7">
        <w:t xml:space="preserve"> at 12535, n.112. </w:t>
      </w:r>
    </w:p>
  </w:footnote>
  <w:footnote w:id="24">
    <w:p w:rsidR="00D75FDF" w14:paraId="146880ED" w14:textId="1626DA96">
      <w:pPr>
        <w:pStyle w:val="FootnoteText"/>
      </w:pPr>
      <w:r>
        <w:rPr>
          <w:rStyle w:val="FootnoteReference"/>
        </w:rPr>
        <w:footnoteRef/>
      </w:r>
      <w:r>
        <w:t xml:space="preserve"> 47 CFR </w:t>
      </w:r>
      <w:r w:rsidRPr="002B5497">
        <w:t>73.872(</w:t>
      </w:r>
      <w:r>
        <w:t>c</w:t>
      </w:r>
      <w:r w:rsidRPr="002B5497">
        <w:t>)</w:t>
      </w:r>
      <w:r>
        <w:t xml:space="preserve">(1).  </w:t>
      </w:r>
    </w:p>
  </w:footnote>
  <w:footnote w:id="25">
    <w:p w:rsidR="00182ADF" w:rsidRPr="001A1663" w:rsidP="00182ADF" w14:paraId="1074BD27" w14:textId="77777777">
      <w:pPr>
        <w:pStyle w:val="FootnoteText"/>
      </w:pPr>
      <w:r>
        <w:rPr>
          <w:rStyle w:val="FootnoteReference"/>
        </w:rPr>
        <w:footnoteRef/>
      </w:r>
      <w:r>
        <w:t xml:space="preserve"> </w:t>
      </w:r>
      <w:r>
        <w:rPr>
          <w:i/>
          <w:iCs/>
        </w:rPr>
        <w:t xml:space="preserve">See </w:t>
      </w:r>
      <w:r>
        <w:t xml:space="preserve">47 CFR </w:t>
      </w:r>
      <w:r w:rsidRPr="002B5497">
        <w:t>§ 73.872(</w:t>
      </w:r>
      <w:r>
        <w:t>d</w:t>
      </w:r>
      <w:r w:rsidRPr="002B5497">
        <w:t>)</w:t>
      </w:r>
      <w:r>
        <w:t>.  In the case of involuntary time-sharing, tied MX applicants simultaneously and confidentially submit their preferred time slots to the Commission.  These procedures will be explained in detail in future Public Notices.</w:t>
      </w:r>
    </w:p>
  </w:footnote>
  <w:footnote w:id="26">
    <w:p w:rsidR="007E2248" w:rsidP="007E2248" w14:paraId="018C9DDA" w14:textId="1730AFEC">
      <w:pPr>
        <w:pStyle w:val="FootnoteText"/>
      </w:pPr>
      <w:r>
        <w:rPr>
          <w:rStyle w:val="FootnoteReference"/>
        </w:rPr>
        <w:footnoteRef/>
      </w:r>
      <w:r>
        <w:t xml:space="preserve"> 47 CFR § 73.870(d).</w:t>
      </w:r>
    </w:p>
  </w:footnote>
  <w:footnote w:id="27">
    <w:p w:rsidR="00AD21DA" w14:paraId="0A6EFAF0" w14:textId="31205E59">
      <w:pPr>
        <w:pStyle w:val="FootnoteText"/>
      </w:pPr>
      <w:r>
        <w:rPr>
          <w:rStyle w:val="FootnoteReference"/>
        </w:rPr>
        <w:footnoteRef/>
      </w:r>
      <w:r>
        <w:t xml:space="preserve"> 47 CFR § 73.</w:t>
      </w:r>
      <w:r w:rsidR="002C0BCD">
        <w:t>3584</w:t>
      </w:r>
      <w:r>
        <w:t>.</w:t>
      </w:r>
      <w:r w:rsidR="00635FAF">
        <w:t xml:space="preserve">  An applicant may file an opposition, and the </w:t>
      </w:r>
      <w:r w:rsidRPr="001D5812" w:rsidR="00635FAF">
        <w:t xml:space="preserve">petitioner may file a reply, within the times prescribed by the rules. </w:t>
      </w:r>
    </w:p>
  </w:footnote>
  <w:footnote w:id="28">
    <w:p w:rsidR="00587592" w14:paraId="6F8301FA" w14:textId="1E327EA2">
      <w:pPr>
        <w:pStyle w:val="FootnoteText"/>
      </w:pPr>
      <w:r>
        <w:rPr>
          <w:rStyle w:val="FootnoteReference"/>
        </w:rPr>
        <w:footnoteRef/>
      </w:r>
      <w:r>
        <w:t xml:space="preserve"> 47 CFR § 73.3587.</w:t>
      </w:r>
    </w:p>
  </w:footnote>
  <w:footnote w:id="29">
    <w:p w:rsidR="00944923" w14:paraId="03C34796" w14:textId="6C3A7749">
      <w:pPr>
        <w:pStyle w:val="FootnoteText"/>
      </w:pPr>
      <w:r>
        <w:rPr>
          <w:rStyle w:val="FootnoteReference"/>
        </w:rPr>
        <w:footnoteRef/>
      </w:r>
      <w:r>
        <w:t xml:space="preserve"> </w:t>
      </w:r>
      <w:r w:rsidR="0003262B">
        <w:t xml:space="preserve">47 CFR § 73.807.  </w:t>
      </w:r>
      <w:r w:rsidRPr="0027566E">
        <w:rPr>
          <w:i/>
        </w:rPr>
        <w:t>See, e.g., L</w:t>
      </w:r>
      <w:r w:rsidR="00131A1E">
        <w:rPr>
          <w:i/>
        </w:rPr>
        <w:t xml:space="preserve">PFM </w:t>
      </w:r>
      <w:r w:rsidR="002C0BCD">
        <w:rPr>
          <w:i/>
        </w:rPr>
        <w:t xml:space="preserve">Procedures Notice, supra </w:t>
      </w:r>
      <w:r w:rsidR="002C0BCD">
        <w:rPr>
          <w:iCs/>
        </w:rPr>
        <w:t xml:space="preserve">note </w:t>
      </w:r>
      <w:r w:rsidR="00131A1E">
        <w:rPr>
          <w:iCs/>
        </w:rPr>
        <w:t>1.</w:t>
      </w:r>
    </w:p>
  </w:footnote>
  <w:footnote w:id="30">
    <w:p w:rsidR="00E372C6" w14:paraId="60959994" w14:textId="1678C64C">
      <w:pPr>
        <w:pStyle w:val="FootnoteText"/>
      </w:pPr>
      <w:r>
        <w:rPr>
          <w:rStyle w:val="FootnoteReference"/>
        </w:rPr>
        <w:footnoteRef/>
      </w:r>
      <w:r>
        <w:t xml:space="preserve"> </w:t>
      </w:r>
      <w:r w:rsidR="00944923">
        <w:rPr>
          <w:i/>
        </w:rPr>
        <w:t xml:space="preserve">Id.  </w:t>
      </w:r>
    </w:p>
  </w:footnote>
  <w:footnote w:id="31">
    <w:p w:rsidR="007E2248" w:rsidP="007E2248" w14:paraId="0A905E29" w14:textId="0444793A">
      <w:pPr>
        <w:pStyle w:val="FootnoteText"/>
        <w:rPr>
          <w:sz w:val="22"/>
        </w:rPr>
      </w:pPr>
      <w:r>
        <w:rPr>
          <w:rStyle w:val="FootnoteReference"/>
        </w:rPr>
        <w:footnoteRef/>
      </w:r>
      <w:r>
        <w:t xml:space="preserve"> </w:t>
      </w:r>
      <w:r>
        <w:rPr>
          <w:rFonts w:ascii="Times" w:hAnsi="Times" w:cs="Times"/>
        </w:rPr>
        <w:t xml:space="preserve">An LPFM station may be licensed to a noncommercial educational organization, to a tribal entity, or a for public safety service. 47 CFR §73.853.  Individuals are not eligible to own and operate LPFM stations.  </w:t>
      </w:r>
      <w:r>
        <w:rPr>
          <w:rFonts w:ascii="Times" w:hAnsi="Times" w:cs="Times"/>
          <w:i/>
        </w:rPr>
        <w:t xml:space="preserve">See Creation of a Low Power Radio Service, </w:t>
      </w:r>
      <w:r>
        <w:rPr>
          <w:rFonts w:ascii="Times" w:hAnsi="Times" w:cs="Times"/>
        </w:rPr>
        <w:t xml:space="preserve">Report and Order, 15 FCC </w:t>
      </w:r>
      <w:r>
        <w:rPr>
          <w:rFonts w:ascii="Times" w:hAnsi="Times" w:cs="Times"/>
        </w:rPr>
        <w:t>Rcd</w:t>
      </w:r>
      <w:r>
        <w:rPr>
          <w:rFonts w:ascii="Times" w:hAnsi="Times" w:cs="Times"/>
        </w:rPr>
        <w:t xml:space="preserve"> 2205, 2215 n.40 (2000).   </w:t>
      </w:r>
    </w:p>
  </w:footnote>
  <w:footnote w:id="32">
    <w:p w:rsidR="007E2248" w:rsidP="007E2248" w14:paraId="5F78F395" w14:textId="51B8CC6C">
      <w:pPr>
        <w:pStyle w:val="FootnoteText"/>
      </w:pPr>
      <w:r>
        <w:rPr>
          <w:rStyle w:val="FootnoteReference"/>
        </w:rPr>
        <w:footnoteRef/>
      </w:r>
      <w:r>
        <w:t xml:space="preserve"> </w:t>
      </w:r>
      <w:r>
        <w:rPr>
          <w:i/>
        </w:rPr>
        <w:t xml:space="preserve">See </w:t>
      </w:r>
      <w:r>
        <w:t xml:space="preserve">47 CFR § 73.855(a) (generally prohibiting the grant of an LPFM application where such grant would result in a party holding an attributable interest in two or more LPFM stations). </w:t>
      </w:r>
    </w:p>
  </w:footnote>
  <w:footnote w:id="33">
    <w:p w:rsidR="000F1033" w:rsidRPr="000F1033" w14:paraId="21EE9C42" w14:textId="6D10F28B">
      <w:pPr>
        <w:pStyle w:val="FootnoteText"/>
      </w:pPr>
      <w:r>
        <w:rPr>
          <w:rStyle w:val="FootnoteReference"/>
        </w:rPr>
        <w:footnoteRef/>
      </w:r>
      <w:r>
        <w:t xml:space="preserve"> </w:t>
      </w:r>
      <w:r>
        <w:rPr>
          <w:i/>
          <w:iCs/>
        </w:rPr>
        <w:t xml:space="preserve">See </w:t>
      </w:r>
      <w:r>
        <w:t xml:space="preserve">47 CFR § 73.854; </w:t>
      </w:r>
      <w:r>
        <w:rPr>
          <w:i/>
          <w:iCs/>
        </w:rPr>
        <w:t xml:space="preserve">see also </w:t>
      </w:r>
      <w:r w:rsidRPr="005F5DB1">
        <w:rPr>
          <w:i/>
          <w:iCs/>
        </w:rPr>
        <w:t>NCE LFPM Report and Order,</w:t>
      </w:r>
      <w:r>
        <w:t xml:space="preserve"> 13 FCC </w:t>
      </w:r>
      <w:r>
        <w:t>Rcd</w:t>
      </w:r>
      <w:r>
        <w:t xml:space="preserve"> at </w:t>
      </w:r>
      <w:r w:rsidR="00131A1E">
        <w:t>12533</w:t>
      </w:r>
      <w:r>
        <w:t xml:space="preserve"> (</w:t>
      </w:r>
      <w:r w:rsidR="0074056D">
        <w:t xml:space="preserve">amending the rules to preclude an applicant dismissed due to unauthorized broadcasting from seeking </w:t>
      </w:r>
      <w:r w:rsidR="0074056D">
        <w:rPr>
          <w:i/>
          <w:iCs/>
        </w:rPr>
        <w:t>nunc</w:t>
      </w:r>
      <w:r w:rsidR="0074056D">
        <w:rPr>
          <w:i/>
          <w:iCs/>
        </w:rPr>
        <w:t xml:space="preserve"> pro </w:t>
      </w:r>
      <w:r w:rsidR="0074056D">
        <w:rPr>
          <w:i/>
          <w:iCs/>
        </w:rPr>
        <w:t>tunc</w:t>
      </w:r>
      <w:r w:rsidR="0074056D">
        <w:rPr>
          <w:i/>
          <w:iCs/>
        </w:rPr>
        <w:t xml:space="preserve"> </w:t>
      </w:r>
      <w:r w:rsidR="0074056D">
        <w:t>reinstatement of its application).</w:t>
      </w:r>
      <w:r>
        <w:t xml:space="preserve"> </w:t>
      </w:r>
    </w:p>
  </w:footnote>
  <w:footnote w:id="34">
    <w:p w:rsidR="00387DBD" w:rsidRPr="00A12D2F" w:rsidP="00387DBD" w14:paraId="7C9205D5" w14:textId="77777777">
      <w:pPr>
        <w:pStyle w:val="FootnoteText"/>
      </w:pPr>
      <w:r w:rsidRPr="00A12D2F">
        <w:rPr>
          <w:rStyle w:val="FootnoteReference"/>
        </w:rPr>
        <w:footnoteRef/>
      </w:r>
      <w:r w:rsidRPr="00A12D2F">
        <w:t xml:space="preserve"> </w:t>
      </w:r>
      <w:r w:rsidRPr="00A12D2F">
        <w:rPr>
          <w:i/>
          <w:iCs/>
        </w:rPr>
        <w:t xml:space="preserve">See Commission States Future Policy on Incomplete and Patently Defective AM and FM Construction Permit Applications, </w:t>
      </w:r>
      <w:r w:rsidRPr="00A12D2F">
        <w:t>Public Notice, 56 RR 2d 776 (1984); 47 CFR § 1.106.</w:t>
      </w:r>
    </w:p>
  </w:footnote>
  <w:footnote w:id="35">
    <w:p w:rsidR="00387DBD" w:rsidRPr="00A12D2F" w:rsidP="00387DBD" w14:paraId="6608E605" w14:textId="77777777">
      <w:pPr>
        <w:pStyle w:val="FootnoteText"/>
      </w:pPr>
      <w:r w:rsidRPr="00A12D2F">
        <w:rPr>
          <w:rStyle w:val="FootnoteReference"/>
        </w:rPr>
        <w:footnoteRef/>
      </w:r>
      <w:r w:rsidRPr="00A12D2F">
        <w:t xml:space="preserve"> Applicants may not amend their applications to increase their comparative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B5" w:rsidRPr="00C37A2D" w:rsidP="00C37A2D" w14:paraId="06784AE3" w14:textId="2B81D006">
    <w:pPr>
      <w:pStyle w:val="Header"/>
      <w:rPr>
        <w:sz w:val="24"/>
        <w:szCs w:val="24"/>
      </w:rPr>
    </w:pPr>
    <w:r w:rsidRPr="00C37A2D">
      <w:rPr>
        <w:sz w:val="24"/>
        <w:szCs w:val="24"/>
      </w:rPr>
      <w:tab/>
      <w:t>Federal Communications Commission</w:t>
    </w:r>
    <w:r w:rsidRPr="00C37A2D">
      <w:rPr>
        <w:sz w:val="24"/>
        <w:szCs w:val="24"/>
      </w:rPr>
      <w:tab/>
    </w:r>
    <w:r>
      <w:rPr>
        <w:sz w:val="24"/>
        <w:szCs w:val="24"/>
      </w:rPr>
      <w:t xml:space="preserve">DA </w:t>
    </w:r>
    <w:r w:rsidR="006274C7">
      <w:rPr>
        <w:sz w:val="24"/>
        <w:szCs w:val="24"/>
      </w:rPr>
      <w:t>2</w:t>
    </w:r>
    <w:r w:rsidR="00B13456">
      <w:rPr>
        <w:sz w:val="24"/>
        <w:szCs w:val="24"/>
      </w:rPr>
      <w:t>4</w:t>
    </w:r>
    <w:r>
      <w:rPr>
        <w:sz w:val="24"/>
        <w:szCs w:val="24"/>
      </w:rPr>
      <w:t>-</w:t>
    </w:r>
    <w:r w:rsidR="001F786B">
      <w:rPr>
        <w:sz w:val="24"/>
        <w:szCs w:val="24"/>
      </w:rPr>
      <w:t>92</w:t>
    </w:r>
  </w:p>
  <w:p w:rsidR="002F29B5"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F29B5"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B5"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2F29B5"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F29B5"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2F29B5"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2F29B5"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2F29B5"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F29B5" w:rsidP="00C82B6B" w14:textId="77777777">
                          <w:pPr>
                            <w:spacing w:before="40"/>
                            <w:jc w:val="right"/>
                            <w:rPr>
                              <w:rFonts w:ascii="Arial" w:hAnsi="Arial"/>
                              <w:b/>
                              <w:sz w:val="16"/>
                            </w:rPr>
                          </w:pPr>
                          <w:r>
                            <w:rPr>
                              <w:rFonts w:ascii="Arial" w:hAnsi="Arial"/>
                              <w:b/>
                              <w:sz w:val="16"/>
                            </w:rPr>
                            <w:t>News Media Information: 202-418-0500</w:t>
                          </w:r>
                        </w:p>
                        <w:p w:rsidR="002F29B5" w:rsidP="00C82B6B" w14:textId="77777777">
                          <w:pPr>
                            <w:jc w:val="right"/>
                            <w:rPr>
                              <w:rFonts w:ascii="Arial" w:hAnsi="Arial"/>
                              <w:b/>
                              <w:sz w:val="16"/>
                            </w:rPr>
                          </w:pPr>
                          <w:r>
                            <w:rPr>
                              <w:rFonts w:ascii="Arial" w:hAnsi="Arial"/>
                              <w:b/>
                              <w:sz w:val="16"/>
                            </w:rPr>
                            <w:t>Internet: www.fcc.gov</w:t>
                          </w:r>
                        </w:p>
                        <w:p w:rsidR="002F29B5" w:rsidP="00C82B6B" w14:textId="77777777">
                          <w:pPr>
                            <w:jc w:val="right"/>
                            <w:rPr>
                              <w:rFonts w:ascii="Arial" w:hAnsi="Arial"/>
                              <w:b/>
                              <w:sz w:val="16"/>
                            </w:rPr>
                          </w:pPr>
                          <w:r>
                            <w:rPr>
                              <w:rFonts w:ascii="Arial" w:hAnsi="Arial"/>
                              <w:b/>
                              <w:sz w:val="16"/>
                            </w:rPr>
                            <w:t>TTY: 888-835-5322</w:t>
                          </w:r>
                        </w:p>
                        <w:p w:rsidR="002F29B5"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2F29B5" w:rsidP="00C82B6B" w14:paraId="07B34B57" w14:textId="77777777">
                    <w:pPr>
                      <w:spacing w:before="40"/>
                      <w:jc w:val="right"/>
                      <w:rPr>
                        <w:rFonts w:ascii="Arial" w:hAnsi="Arial"/>
                        <w:b/>
                        <w:sz w:val="16"/>
                      </w:rPr>
                    </w:pPr>
                    <w:r>
                      <w:rPr>
                        <w:rFonts w:ascii="Arial" w:hAnsi="Arial"/>
                        <w:b/>
                        <w:sz w:val="16"/>
                      </w:rPr>
                      <w:t>News Media Information: 202-418-0500</w:t>
                    </w:r>
                  </w:p>
                  <w:p w:rsidR="002F29B5" w:rsidP="00C82B6B" w14:paraId="045E0E71" w14:textId="77777777">
                    <w:pPr>
                      <w:jc w:val="right"/>
                      <w:rPr>
                        <w:rFonts w:ascii="Arial" w:hAnsi="Arial"/>
                        <w:b/>
                        <w:sz w:val="16"/>
                      </w:rPr>
                    </w:pPr>
                    <w:r>
                      <w:rPr>
                        <w:rFonts w:ascii="Arial" w:hAnsi="Arial"/>
                        <w:b/>
                        <w:sz w:val="16"/>
                      </w:rPr>
                      <w:t>Internet: www.fcc.gov</w:t>
                    </w:r>
                  </w:p>
                  <w:p w:rsidR="002F29B5" w:rsidP="00C82B6B" w14:paraId="275CC39E" w14:textId="77777777">
                    <w:pPr>
                      <w:jc w:val="right"/>
                      <w:rPr>
                        <w:rFonts w:ascii="Arial" w:hAnsi="Arial"/>
                        <w:b/>
                        <w:sz w:val="16"/>
                      </w:rPr>
                    </w:pPr>
                    <w:r>
                      <w:rPr>
                        <w:rFonts w:ascii="Arial" w:hAnsi="Arial"/>
                        <w:b/>
                        <w:sz w:val="16"/>
                      </w:rPr>
                      <w:t>TTY: 888-835-5322</w:t>
                    </w:r>
                  </w:p>
                  <w:p w:rsidR="002F29B5" w:rsidP="00C82B6B" w14:paraId="2CC95193" w14:textId="77777777">
                    <w:pPr>
                      <w:jc w:val="right"/>
                    </w:pPr>
                  </w:p>
                </w:txbxContent>
              </v:textbox>
            </v:shape>
          </w:pict>
        </mc:Fallback>
      </mc:AlternateContent>
    </w:r>
  </w:p>
  <w:p w:rsidR="002F29B5"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BA1821"/>
    <w:multiLevelType w:val="hybridMultilevel"/>
    <w:tmpl w:val="D83607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A45E3C"/>
    <w:multiLevelType w:val="hybridMultilevel"/>
    <w:tmpl w:val="AC8C240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F17CE7"/>
    <w:multiLevelType w:val="hybridMultilevel"/>
    <w:tmpl w:val="F4725B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9"/>
  </w:num>
  <w:num w:numId="8">
    <w:abstractNumId w:val="5"/>
  </w:num>
  <w:num w:numId="9">
    <w:abstractNumId w:val="11"/>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620F"/>
    <w:rsid w:val="00015D11"/>
    <w:rsid w:val="00021538"/>
    <w:rsid w:val="00021D61"/>
    <w:rsid w:val="0002449F"/>
    <w:rsid w:val="00030781"/>
    <w:rsid w:val="0003262B"/>
    <w:rsid w:val="00043694"/>
    <w:rsid w:val="000452D8"/>
    <w:rsid w:val="00046707"/>
    <w:rsid w:val="00051242"/>
    <w:rsid w:val="000549A6"/>
    <w:rsid w:val="0005586F"/>
    <w:rsid w:val="00057542"/>
    <w:rsid w:val="00057699"/>
    <w:rsid w:val="00060681"/>
    <w:rsid w:val="00071B0E"/>
    <w:rsid w:val="00080F44"/>
    <w:rsid w:val="00081F37"/>
    <w:rsid w:val="000825FE"/>
    <w:rsid w:val="000862A4"/>
    <w:rsid w:val="00092226"/>
    <w:rsid w:val="00092812"/>
    <w:rsid w:val="000A50B4"/>
    <w:rsid w:val="000B3676"/>
    <w:rsid w:val="000B5771"/>
    <w:rsid w:val="000B5B68"/>
    <w:rsid w:val="000C0679"/>
    <w:rsid w:val="000C1E73"/>
    <w:rsid w:val="000C3EE0"/>
    <w:rsid w:val="000D0399"/>
    <w:rsid w:val="000D0430"/>
    <w:rsid w:val="000D6612"/>
    <w:rsid w:val="000E3A19"/>
    <w:rsid w:val="000E4796"/>
    <w:rsid w:val="000E6EEA"/>
    <w:rsid w:val="000F1033"/>
    <w:rsid w:val="000F5CD8"/>
    <w:rsid w:val="000F6BF1"/>
    <w:rsid w:val="001038B6"/>
    <w:rsid w:val="0010548A"/>
    <w:rsid w:val="00113A80"/>
    <w:rsid w:val="00121A11"/>
    <w:rsid w:val="001278C5"/>
    <w:rsid w:val="00131A1E"/>
    <w:rsid w:val="00132B84"/>
    <w:rsid w:val="00140097"/>
    <w:rsid w:val="0014214E"/>
    <w:rsid w:val="001425BD"/>
    <w:rsid w:val="001430C3"/>
    <w:rsid w:val="00145ADC"/>
    <w:rsid w:val="001476D3"/>
    <w:rsid w:val="001503B4"/>
    <w:rsid w:val="00150A04"/>
    <w:rsid w:val="001558A2"/>
    <w:rsid w:val="00155F6A"/>
    <w:rsid w:val="001622B9"/>
    <w:rsid w:val="001664E2"/>
    <w:rsid w:val="00181107"/>
    <w:rsid w:val="00181131"/>
    <w:rsid w:val="001829E9"/>
    <w:rsid w:val="00182ADF"/>
    <w:rsid w:val="001851D1"/>
    <w:rsid w:val="0018600F"/>
    <w:rsid w:val="001866D2"/>
    <w:rsid w:val="00195352"/>
    <w:rsid w:val="001A1663"/>
    <w:rsid w:val="001A2D44"/>
    <w:rsid w:val="001A3D03"/>
    <w:rsid w:val="001B143B"/>
    <w:rsid w:val="001B4222"/>
    <w:rsid w:val="001B7F3F"/>
    <w:rsid w:val="001D436D"/>
    <w:rsid w:val="001D57F0"/>
    <w:rsid w:val="001D5812"/>
    <w:rsid w:val="001E3C79"/>
    <w:rsid w:val="001F7544"/>
    <w:rsid w:val="001F786B"/>
    <w:rsid w:val="00217634"/>
    <w:rsid w:val="002178D2"/>
    <w:rsid w:val="00217E12"/>
    <w:rsid w:val="00226C46"/>
    <w:rsid w:val="002338EA"/>
    <w:rsid w:val="00235707"/>
    <w:rsid w:val="002403C4"/>
    <w:rsid w:val="00240888"/>
    <w:rsid w:val="00241AB7"/>
    <w:rsid w:val="00241C0C"/>
    <w:rsid w:val="002475A3"/>
    <w:rsid w:val="002476E5"/>
    <w:rsid w:val="0025411A"/>
    <w:rsid w:val="00255708"/>
    <w:rsid w:val="00262EAB"/>
    <w:rsid w:val="0026487C"/>
    <w:rsid w:val="0027566E"/>
    <w:rsid w:val="0028141A"/>
    <w:rsid w:val="002A1404"/>
    <w:rsid w:val="002A282A"/>
    <w:rsid w:val="002A4048"/>
    <w:rsid w:val="002B5497"/>
    <w:rsid w:val="002B5B55"/>
    <w:rsid w:val="002B6F99"/>
    <w:rsid w:val="002B79D6"/>
    <w:rsid w:val="002C0BCD"/>
    <w:rsid w:val="002C4028"/>
    <w:rsid w:val="002C5A5E"/>
    <w:rsid w:val="002D5E76"/>
    <w:rsid w:val="002E009C"/>
    <w:rsid w:val="002E2097"/>
    <w:rsid w:val="002E5D86"/>
    <w:rsid w:val="002E7211"/>
    <w:rsid w:val="002F0340"/>
    <w:rsid w:val="002F03EA"/>
    <w:rsid w:val="002F29B5"/>
    <w:rsid w:val="00300DBB"/>
    <w:rsid w:val="00302FD2"/>
    <w:rsid w:val="003060C8"/>
    <w:rsid w:val="00315DF0"/>
    <w:rsid w:val="003170F3"/>
    <w:rsid w:val="00317117"/>
    <w:rsid w:val="0031716D"/>
    <w:rsid w:val="00332DB8"/>
    <w:rsid w:val="00336075"/>
    <w:rsid w:val="003459D3"/>
    <w:rsid w:val="0035581E"/>
    <w:rsid w:val="00355BDB"/>
    <w:rsid w:val="0035664C"/>
    <w:rsid w:val="003605F6"/>
    <w:rsid w:val="00360E76"/>
    <w:rsid w:val="00360EAD"/>
    <w:rsid w:val="00364D77"/>
    <w:rsid w:val="003760F5"/>
    <w:rsid w:val="00382503"/>
    <w:rsid w:val="00382F56"/>
    <w:rsid w:val="00387327"/>
    <w:rsid w:val="00387DBD"/>
    <w:rsid w:val="003928A5"/>
    <w:rsid w:val="00393D18"/>
    <w:rsid w:val="003947F3"/>
    <w:rsid w:val="003A362A"/>
    <w:rsid w:val="003B520E"/>
    <w:rsid w:val="003C0866"/>
    <w:rsid w:val="003C7A44"/>
    <w:rsid w:val="003D177F"/>
    <w:rsid w:val="003D1AFA"/>
    <w:rsid w:val="003D1FBF"/>
    <w:rsid w:val="003D38E3"/>
    <w:rsid w:val="003D39AE"/>
    <w:rsid w:val="003D46B4"/>
    <w:rsid w:val="003D4EDF"/>
    <w:rsid w:val="003D5AE2"/>
    <w:rsid w:val="003E33E3"/>
    <w:rsid w:val="003E4B09"/>
    <w:rsid w:val="003E4B3E"/>
    <w:rsid w:val="003F66AE"/>
    <w:rsid w:val="00417F47"/>
    <w:rsid w:val="00421C35"/>
    <w:rsid w:val="004309E4"/>
    <w:rsid w:val="0043153E"/>
    <w:rsid w:val="00440FD3"/>
    <w:rsid w:val="00441521"/>
    <w:rsid w:val="00450592"/>
    <w:rsid w:val="0045290D"/>
    <w:rsid w:val="0045756D"/>
    <w:rsid w:val="00462CBE"/>
    <w:rsid w:val="004634C9"/>
    <w:rsid w:val="00465634"/>
    <w:rsid w:val="00467233"/>
    <w:rsid w:val="00481BE2"/>
    <w:rsid w:val="004870DF"/>
    <w:rsid w:val="0048763E"/>
    <w:rsid w:val="00487827"/>
    <w:rsid w:val="004908E1"/>
    <w:rsid w:val="00492FD1"/>
    <w:rsid w:val="00493551"/>
    <w:rsid w:val="00497604"/>
    <w:rsid w:val="004A10E6"/>
    <w:rsid w:val="004A11B6"/>
    <w:rsid w:val="004A3251"/>
    <w:rsid w:val="004A5241"/>
    <w:rsid w:val="004B1582"/>
    <w:rsid w:val="004B43CB"/>
    <w:rsid w:val="004B52F5"/>
    <w:rsid w:val="004B623B"/>
    <w:rsid w:val="004B7E58"/>
    <w:rsid w:val="004C1045"/>
    <w:rsid w:val="004C2197"/>
    <w:rsid w:val="004C5A79"/>
    <w:rsid w:val="004C657C"/>
    <w:rsid w:val="004C74C4"/>
    <w:rsid w:val="004C7E01"/>
    <w:rsid w:val="004D37F6"/>
    <w:rsid w:val="004D5BD8"/>
    <w:rsid w:val="004E140C"/>
    <w:rsid w:val="004E7339"/>
    <w:rsid w:val="0050461C"/>
    <w:rsid w:val="0050564F"/>
    <w:rsid w:val="005067F7"/>
    <w:rsid w:val="00513CFC"/>
    <w:rsid w:val="00520DFF"/>
    <w:rsid w:val="00523562"/>
    <w:rsid w:val="00526D9D"/>
    <w:rsid w:val="005308BA"/>
    <w:rsid w:val="005329EE"/>
    <w:rsid w:val="00534C8C"/>
    <w:rsid w:val="00540FD1"/>
    <w:rsid w:val="00543A4A"/>
    <w:rsid w:val="0055614C"/>
    <w:rsid w:val="00561CD3"/>
    <w:rsid w:val="00563952"/>
    <w:rsid w:val="00571B6A"/>
    <w:rsid w:val="00573B3D"/>
    <w:rsid w:val="0057743F"/>
    <w:rsid w:val="00581DAB"/>
    <w:rsid w:val="005832E5"/>
    <w:rsid w:val="00583C43"/>
    <w:rsid w:val="00587592"/>
    <w:rsid w:val="00591298"/>
    <w:rsid w:val="0059524E"/>
    <w:rsid w:val="00596D03"/>
    <w:rsid w:val="005A58A2"/>
    <w:rsid w:val="005B0EAF"/>
    <w:rsid w:val="005C155F"/>
    <w:rsid w:val="005C666C"/>
    <w:rsid w:val="005D041F"/>
    <w:rsid w:val="005D3FD6"/>
    <w:rsid w:val="005D6879"/>
    <w:rsid w:val="005E1ADD"/>
    <w:rsid w:val="005E2075"/>
    <w:rsid w:val="005E6074"/>
    <w:rsid w:val="005E648B"/>
    <w:rsid w:val="005F3781"/>
    <w:rsid w:val="005F4248"/>
    <w:rsid w:val="005F5DB1"/>
    <w:rsid w:val="005F6DA4"/>
    <w:rsid w:val="00605B9D"/>
    <w:rsid w:val="00613029"/>
    <w:rsid w:val="00613DDD"/>
    <w:rsid w:val="00613EED"/>
    <w:rsid w:val="006246F3"/>
    <w:rsid w:val="006274C7"/>
    <w:rsid w:val="00635FAF"/>
    <w:rsid w:val="00650CD9"/>
    <w:rsid w:val="00656484"/>
    <w:rsid w:val="00662D93"/>
    <w:rsid w:val="00675B74"/>
    <w:rsid w:val="00677A05"/>
    <w:rsid w:val="0068151E"/>
    <w:rsid w:val="0068482C"/>
    <w:rsid w:val="00686420"/>
    <w:rsid w:val="00696C61"/>
    <w:rsid w:val="006A2920"/>
    <w:rsid w:val="006A30E0"/>
    <w:rsid w:val="006A3FB9"/>
    <w:rsid w:val="006A7ABE"/>
    <w:rsid w:val="006B1AFA"/>
    <w:rsid w:val="006B30FA"/>
    <w:rsid w:val="006C486D"/>
    <w:rsid w:val="006C688C"/>
    <w:rsid w:val="006D307F"/>
    <w:rsid w:val="006D654D"/>
    <w:rsid w:val="006E0119"/>
    <w:rsid w:val="006E4265"/>
    <w:rsid w:val="006F0DC5"/>
    <w:rsid w:val="006F31BC"/>
    <w:rsid w:val="006F3DA5"/>
    <w:rsid w:val="007041B6"/>
    <w:rsid w:val="00711573"/>
    <w:rsid w:val="00712404"/>
    <w:rsid w:val="00714F8F"/>
    <w:rsid w:val="00720E2F"/>
    <w:rsid w:val="00723F7F"/>
    <w:rsid w:val="00725140"/>
    <w:rsid w:val="00726573"/>
    <w:rsid w:val="007267C3"/>
    <w:rsid w:val="00737070"/>
    <w:rsid w:val="0074056D"/>
    <w:rsid w:val="00743F52"/>
    <w:rsid w:val="00745123"/>
    <w:rsid w:val="007552ED"/>
    <w:rsid w:val="00755AD6"/>
    <w:rsid w:val="0075666B"/>
    <w:rsid w:val="00756A79"/>
    <w:rsid w:val="00756F16"/>
    <w:rsid w:val="00757307"/>
    <w:rsid w:val="007649FD"/>
    <w:rsid w:val="00772544"/>
    <w:rsid w:val="00772A04"/>
    <w:rsid w:val="00776F9F"/>
    <w:rsid w:val="00785DCE"/>
    <w:rsid w:val="007871A3"/>
    <w:rsid w:val="00792DE2"/>
    <w:rsid w:val="007931AF"/>
    <w:rsid w:val="007A3BF6"/>
    <w:rsid w:val="007B2990"/>
    <w:rsid w:val="007B641D"/>
    <w:rsid w:val="007B72DE"/>
    <w:rsid w:val="007B7812"/>
    <w:rsid w:val="007B792E"/>
    <w:rsid w:val="007C028A"/>
    <w:rsid w:val="007C78B5"/>
    <w:rsid w:val="007D34EB"/>
    <w:rsid w:val="007D40F0"/>
    <w:rsid w:val="007E2248"/>
    <w:rsid w:val="007E376C"/>
    <w:rsid w:val="007E6002"/>
    <w:rsid w:val="007F3E2F"/>
    <w:rsid w:val="007F7753"/>
    <w:rsid w:val="0080419F"/>
    <w:rsid w:val="00806FCA"/>
    <w:rsid w:val="0081510C"/>
    <w:rsid w:val="00815BAA"/>
    <w:rsid w:val="00822099"/>
    <w:rsid w:val="0082429E"/>
    <w:rsid w:val="0083135A"/>
    <w:rsid w:val="00833E26"/>
    <w:rsid w:val="00844E48"/>
    <w:rsid w:val="00844F3B"/>
    <w:rsid w:val="008458D7"/>
    <w:rsid w:val="00847B68"/>
    <w:rsid w:val="00852219"/>
    <w:rsid w:val="00852480"/>
    <w:rsid w:val="008543EF"/>
    <w:rsid w:val="00854852"/>
    <w:rsid w:val="00854B58"/>
    <w:rsid w:val="008643A2"/>
    <w:rsid w:val="00864E02"/>
    <w:rsid w:val="008712B0"/>
    <w:rsid w:val="00872200"/>
    <w:rsid w:val="00875F6B"/>
    <w:rsid w:val="0088390C"/>
    <w:rsid w:val="008857C9"/>
    <w:rsid w:val="00891339"/>
    <w:rsid w:val="008A3189"/>
    <w:rsid w:val="008A3CC8"/>
    <w:rsid w:val="008A5E1E"/>
    <w:rsid w:val="008A70F5"/>
    <w:rsid w:val="008B53AB"/>
    <w:rsid w:val="008C0862"/>
    <w:rsid w:val="008C1147"/>
    <w:rsid w:val="008C28C4"/>
    <w:rsid w:val="008C6D72"/>
    <w:rsid w:val="008C70A9"/>
    <w:rsid w:val="008D0C96"/>
    <w:rsid w:val="008D3E64"/>
    <w:rsid w:val="008D6E3D"/>
    <w:rsid w:val="008E0D95"/>
    <w:rsid w:val="008E220E"/>
    <w:rsid w:val="008E2960"/>
    <w:rsid w:val="008E7747"/>
    <w:rsid w:val="008F11FD"/>
    <w:rsid w:val="008F22EC"/>
    <w:rsid w:val="008F483C"/>
    <w:rsid w:val="008F6674"/>
    <w:rsid w:val="00905169"/>
    <w:rsid w:val="00907332"/>
    <w:rsid w:val="00913123"/>
    <w:rsid w:val="009249E1"/>
    <w:rsid w:val="00926E27"/>
    <w:rsid w:val="00931973"/>
    <w:rsid w:val="00944923"/>
    <w:rsid w:val="009630D6"/>
    <w:rsid w:val="00966A0B"/>
    <w:rsid w:val="00966FAC"/>
    <w:rsid w:val="0097045E"/>
    <w:rsid w:val="00971114"/>
    <w:rsid w:val="00972419"/>
    <w:rsid w:val="00972DCE"/>
    <w:rsid w:val="00976725"/>
    <w:rsid w:val="009825A8"/>
    <w:rsid w:val="00992480"/>
    <w:rsid w:val="009A644C"/>
    <w:rsid w:val="009B45A0"/>
    <w:rsid w:val="009B5695"/>
    <w:rsid w:val="009B5CAA"/>
    <w:rsid w:val="009B617E"/>
    <w:rsid w:val="009C1577"/>
    <w:rsid w:val="009C3FF8"/>
    <w:rsid w:val="009C6C36"/>
    <w:rsid w:val="009D47B0"/>
    <w:rsid w:val="009D6266"/>
    <w:rsid w:val="009F696C"/>
    <w:rsid w:val="00A02082"/>
    <w:rsid w:val="00A04F1D"/>
    <w:rsid w:val="00A1128D"/>
    <w:rsid w:val="00A12D2F"/>
    <w:rsid w:val="00A203C4"/>
    <w:rsid w:val="00A2066D"/>
    <w:rsid w:val="00A2110D"/>
    <w:rsid w:val="00A222DB"/>
    <w:rsid w:val="00A253FC"/>
    <w:rsid w:val="00A27DA0"/>
    <w:rsid w:val="00A33694"/>
    <w:rsid w:val="00A34B57"/>
    <w:rsid w:val="00A37832"/>
    <w:rsid w:val="00A4280B"/>
    <w:rsid w:val="00A4755A"/>
    <w:rsid w:val="00A51BB9"/>
    <w:rsid w:val="00A538E3"/>
    <w:rsid w:val="00A546F5"/>
    <w:rsid w:val="00A5710C"/>
    <w:rsid w:val="00A6442D"/>
    <w:rsid w:val="00A66548"/>
    <w:rsid w:val="00A80160"/>
    <w:rsid w:val="00A83D42"/>
    <w:rsid w:val="00A85F2C"/>
    <w:rsid w:val="00A91F90"/>
    <w:rsid w:val="00A92C25"/>
    <w:rsid w:val="00A940F2"/>
    <w:rsid w:val="00A9592A"/>
    <w:rsid w:val="00AA0523"/>
    <w:rsid w:val="00AA3AEF"/>
    <w:rsid w:val="00AB500B"/>
    <w:rsid w:val="00AC1089"/>
    <w:rsid w:val="00AC310A"/>
    <w:rsid w:val="00AD21DA"/>
    <w:rsid w:val="00AD3946"/>
    <w:rsid w:val="00AD4BB3"/>
    <w:rsid w:val="00AD536E"/>
    <w:rsid w:val="00AD6BBF"/>
    <w:rsid w:val="00AE3E54"/>
    <w:rsid w:val="00AE44EC"/>
    <w:rsid w:val="00AE5256"/>
    <w:rsid w:val="00B0133D"/>
    <w:rsid w:val="00B01BC6"/>
    <w:rsid w:val="00B06597"/>
    <w:rsid w:val="00B10539"/>
    <w:rsid w:val="00B13456"/>
    <w:rsid w:val="00B17122"/>
    <w:rsid w:val="00B22839"/>
    <w:rsid w:val="00B2320F"/>
    <w:rsid w:val="00B4400E"/>
    <w:rsid w:val="00B44118"/>
    <w:rsid w:val="00B53E9C"/>
    <w:rsid w:val="00B56B81"/>
    <w:rsid w:val="00B57299"/>
    <w:rsid w:val="00B60B9A"/>
    <w:rsid w:val="00B634E6"/>
    <w:rsid w:val="00B66C46"/>
    <w:rsid w:val="00B73BCF"/>
    <w:rsid w:val="00B748F4"/>
    <w:rsid w:val="00B77A52"/>
    <w:rsid w:val="00B80F14"/>
    <w:rsid w:val="00B85007"/>
    <w:rsid w:val="00B87500"/>
    <w:rsid w:val="00B903B3"/>
    <w:rsid w:val="00B9152C"/>
    <w:rsid w:val="00BA1268"/>
    <w:rsid w:val="00BA32DC"/>
    <w:rsid w:val="00BA46CB"/>
    <w:rsid w:val="00BB1FA4"/>
    <w:rsid w:val="00BB2B60"/>
    <w:rsid w:val="00BB4D58"/>
    <w:rsid w:val="00BC2BCC"/>
    <w:rsid w:val="00BC48B0"/>
    <w:rsid w:val="00BC66BB"/>
    <w:rsid w:val="00BD3C3B"/>
    <w:rsid w:val="00BD4BA3"/>
    <w:rsid w:val="00BE1878"/>
    <w:rsid w:val="00BE1882"/>
    <w:rsid w:val="00BE757F"/>
    <w:rsid w:val="00BE7F2D"/>
    <w:rsid w:val="00BF0539"/>
    <w:rsid w:val="00C00086"/>
    <w:rsid w:val="00C05EA9"/>
    <w:rsid w:val="00C07760"/>
    <w:rsid w:val="00C10BD2"/>
    <w:rsid w:val="00C111D2"/>
    <w:rsid w:val="00C17D7F"/>
    <w:rsid w:val="00C22A18"/>
    <w:rsid w:val="00C25F59"/>
    <w:rsid w:val="00C26A39"/>
    <w:rsid w:val="00C26CF3"/>
    <w:rsid w:val="00C37A2D"/>
    <w:rsid w:val="00C40EDA"/>
    <w:rsid w:val="00C43DFA"/>
    <w:rsid w:val="00C43F19"/>
    <w:rsid w:val="00C470AA"/>
    <w:rsid w:val="00C4742B"/>
    <w:rsid w:val="00C502B4"/>
    <w:rsid w:val="00C54998"/>
    <w:rsid w:val="00C57943"/>
    <w:rsid w:val="00C61C19"/>
    <w:rsid w:val="00C639EB"/>
    <w:rsid w:val="00C63A13"/>
    <w:rsid w:val="00C663F7"/>
    <w:rsid w:val="00C67153"/>
    <w:rsid w:val="00C744FB"/>
    <w:rsid w:val="00C75B8C"/>
    <w:rsid w:val="00C76EBA"/>
    <w:rsid w:val="00C80217"/>
    <w:rsid w:val="00C82B6B"/>
    <w:rsid w:val="00C953A0"/>
    <w:rsid w:val="00C95872"/>
    <w:rsid w:val="00C96CB6"/>
    <w:rsid w:val="00CA2153"/>
    <w:rsid w:val="00CA6592"/>
    <w:rsid w:val="00CA76AD"/>
    <w:rsid w:val="00CB41A1"/>
    <w:rsid w:val="00CB5DA2"/>
    <w:rsid w:val="00CC1D6A"/>
    <w:rsid w:val="00CD10DD"/>
    <w:rsid w:val="00CD3A98"/>
    <w:rsid w:val="00CD4630"/>
    <w:rsid w:val="00CD58D3"/>
    <w:rsid w:val="00CD719A"/>
    <w:rsid w:val="00CE5C47"/>
    <w:rsid w:val="00CF570A"/>
    <w:rsid w:val="00CF782A"/>
    <w:rsid w:val="00CF7867"/>
    <w:rsid w:val="00CF7ECD"/>
    <w:rsid w:val="00D0000B"/>
    <w:rsid w:val="00D00932"/>
    <w:rsid w:val="00D036CC"/>
    <w:rsid w:val="00D05FA0"/>
    <w:rsid w:val="00D07C29"/>
    <w:rsid w:val="00D14D73"/>
    <w:rsid w:val="00D1738C"/>
    <w:rsid w:val="00D17EF5"/>
    <w:rsid w:val="00D2113E"/>
    <w:rsid w:val="00D23929"/>
    <w:rsid w:val="00D23DA5"/>
    <w:rsid w:val="00D24DB2"/>
    <w:rsid w:val="00D24EFB"/>
    <w:rsid w:val="00D2665B"/>
    <w:rsid w:val="00D2699C"/>
    <w:rsid w:val="00D30947"/>
    <w:rsid w:val="00D3186D"/>
    <w:rsid w:val="00D32865"/>
    <w:rsid w:val="00D32912"/>
    <w:rsid w:val="00D40336"/>
    <w:rsid w:val="00D442F7"/>
    <w:rsid w:val="00D44F1C"/>
    <w:rsid w:val="00D46761"/>
    <w:rsid w:val="00D46E09"/>
    <w:rsid w:val="00D53FEE"/>
    <w:rsid w:val="00D54A2E"/>
    <w:rsid w:val="00D67DF8"/>
    <w:rsid w:val="00D74E07"/>
    <w:rsid w:val="00D75FDF"/>
    <w:rsid w:val="00D76150"/>
    <w:rsid w:val="00D77839"/>
    <w:rsid w:val="00D8428A"/>
    <w:rsid w:val="00D86415"/>
    <w:rsid w:val="00D870B5"/>
    <w:rsid w:val="00D974EC"/>
    <w:rsid w:val="00DB65AB"/>
    <w:rsid w:val="00DC1603"/>
    <w:rsid w:val="00DD2099"/>
    <w:rsid w:val="00DD71EC"/>
    <w:rsid w:val="00DE46CA"/>
    <w:rsid w:val="00DE5D93"/>
    <w:rsid w:val="00DE6373"/>
    <w:rsid w:val="00DF3DEB"/>
    <w:rsid w:val="00DF641E"/>
    <w:rsid w:val="00E0217E"/>
    <w:rsid w:val="00E06246"/>
    <w:rsid w:val="00E14EC2"/>
    <w:rsid w:val="00E21599"/>
    <w:rsid w:val="00E21F4D"/>
    <w:rsid w:val="00E34620"/>
    <w:rsid w:val="00E372C6"/>
    <w:rsid w:val="00E44FCE"/>
    <w:rsid w:val="00E50DB3"/>
    <w:rsid w:val="00E51A08"/>
    <w:rsid w:val="00E61DF3"/>
    <w:rsid w:val="00E8475E"/>
    <w:rsid w:val="00E8665C"/>
    <w:rsid w:val="00E9034D"/>
    <w:rsid w:val="00E9093C"/>
    <w:rsid w:val="00E922EC"/>
    <w:rsid w:val="00E928AB"/>
    <w:rsid w:val="00E95F09"/>
    <w:rsid w:val="00E96BE8"/>
    <w:rsid w:val="00EA29FE"/>
    <w:rsid w:val="00EA354A"/>
    <w:rsid w:val="00EA50A7"/>
    <w:rsid w:val="00EA5E14"/>
    <w:rsid w:val="00EB65AC"/>
    <w:rsid w:val="00EC5A2A"/>
    <w:rsid w:val="00ED1F33"/>
    <w:rsid w:val="00EE1589"/>
    <w:rsid w:val="00EE6ADF"/>
    <w:rsid w:val="00EF4DC5"/>
    <w:rsid w:val="00EF59E1"/>
    <w:rsid w:val="00EF5D8C"/>
    <w:rsid w:val="00EF706B"/>
    <w:rsid w:val="00F00195"/>
    <w:rsid w:val="00F055EF"/>
    <w:rsid w:val="00F06F62"/>
    <w:rsid w:val="00F07904"/>
    <w:rsid w:val="00F07CF6"/>
    <w:rsid w:val="00F1096E"/>
    <w:rsid w:val="00F1180F"/>
    <w:rsid w:val="00F1339D"/>
    <w:rsid w:val="00F27C2E"/>
    <w:rsid w:val="00F308D5"/>
    <w:rsid w:val="00F330FB"/>
    <w:rsid w:val="00F36734"/>
    <w:rsid w:val="00F4163A"/>
    <w:rsid w:val="00F503D5"/>
    <w:rsid w:val="00F5468A"/>
    <w:rsid w:val="00F63615"/>
    <w:rsid w:val="00F63DB7"/>
    <w:rsid w:val="00F7037C"/>
    <w:rsid w:val="00F72C94"/>
    <w:rsid w:val="00F75082"/>
    <w:rsid w:val="00F764E8"/>
    <w:rsid w:val="00F775BC"/>
    <w:rsid w:val="00F861EC"/>
    <w:rsid w:val="00F87407"/>
    <w:rsid w:val="00F9232F"/>
    <w:rsid w:val="00FA0BC9"/>
    <w:rsid w:val="00FA2772"/>
    <w:rsid w:val="00FB2C9A"/>
    <w:rsid w:val="00FC458C"/>
    <w:rsid w:val="00FC5A47"/>
    <w:rsid w:val="00FC6C61"/>
    <w:rsid w:val="00FD0711"/>
    <w:rsid w:val="00FD4B6D"/>
    <w:rsid w:val="00FE1793"/>
    <w:rsid w:val="00FE3547"/>
    <w:rsid w:val="00FE42DB"/>
    <w:rsid w:val="00FF0E7A"/>
    <w:rsid w:val="00FF2B22"/>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paragraph" w:styleId="Revision">
    <w:name w:val="Revision"/>
    <w:hidden/>
    <w:uiPriority w:val="99"/>
    <w:semiHidden/>
    <w:rsid w:val="007649FD"/>
    <w:rPr>
      <w:snapToGrid w:val="0"/>
      <w:kern w:val="28"/>
      <w:sz w:val="22"/>
    </w:rPr>
  </w:style>
  <w:style w:type="paragraph" w:customStyle="1" w:styleId="Normal12">
    <w:name w:val="Normal 12"/>
    <w:basedOn w:val="Normal"/>
    <w:rsid w:val="00CD4630"/>
    <w:pPr>
      <w:widowControl/>
      <w:ind w:firstLine="720"/>
    </w:pPr>
    <w:rPr>
      <w:snapToGrid/>
      <w:kern w:val="0"/>
      <w:sz w:val="24"/>
    </w:rPr>
  </w:style>
  <w:style w:type="character" w:customStyle="1" w:styleId="cosearchterm">
    <w:name w:val="co_searchterm"/>
    <w:rsid w:val="00720E2F"/>
  </w:style>
  <w:style w:type="character" w:styleId="Strong">
    <w:name w:val="Strong"/>
    <w:basedOn w:val="DefaultParagraphFont"/>
    <w:uiPriority w:val="22"/>
    <w:qFormat/>
    <w:rsid w:val="00720E2F"/>
    <w:rPr>
      <w:b/>
      <w:bCs/>
    </w:rPr>
  </w:style>
  <w:style w:type="paragraph" w:styleId="NormalWeb">
    <w:name w:val="Normal (Web)"/>
    <w:basedOn w:val="Normal"/>
    <w:uiPriority w:val="99"/>
    <w:unhideWhenUsed/>
    <w:rsid w:val="0082429E"/>
    <w:pPr>
      <w:widowControl/>
      <w:spacing w:before="100" w:beforeAutospacing="1" w:after="100" w:afterAutospacing="1"/>
    </w:pPr>
    <w:rPr>
      <w:snapToGrid/>
      <w:kern w:val="0"/>
      <w:sz w:val="24"/>
      <w:szCs w:val="24"/>
    </w:rPr>
  </w:style>
  <w:style w:type="character" w:customStyle="1" w:styleId="cf01">
    <w:name w:val="cf01"/>
    <w:basedOn w:val="DefaultParagraphFont"/>
    <w:rsid w:val="0082429E"/>
    <w:rPr>
      <w:rFonts w:ascii="Segoe UI" w:hAnsi="Segoe UI" w:cs="Segoe UI" w:hint="default"/>
      <w:sz w:val="18"/>
      <w:szCs w:val="18"/>
    </w:rPr>
  </w:style>
  <w:style w:type="paragraph" w:styleId="BodyTextIndent">
    <w:name w:val="Body Text Indent"/>
    <w:basedOn w:val="Normal"/>
    <w:link w:val="BodyTextIndentChar"/>
    <w:rsid w:val="00C10BD2"/>
    <w:pPr>
      <w:ind w:left="360"/>
      <w:jc w:val="both"/>
    </w:pPr>
    <w:rPr>
      <w:kern w:val="0"/>
      <w:sz w:val="20"/>
    </w:rPr>
  </w:style>
  <w:style w:type="character" w:customStyle="1" w:styleId="BodyTextIndentChar">
    <w:name w:val="Body Text Indent Char"/>
    <w:basedOn w:val="DefaultParagraphFont"/>
    <w:link w:val="BodyTextIndent"/>
    <w:rsid w:val="00C10BD2"/>
    <w:rPr>
      <w:snapToGrid w:val="0"/>
    </w:rPr>
  </w:style>
  <w:style w:type="character" w:customStyle="1" w:styleId="FootnoteTextChar3CharCharChar">
    <w:name w:val="Footnote Text Char3 Char Char Char"/>
    <w:aliases w:val="Footnote Text Char Char Char1 Char Char Char Char,Footnote Text Char1 Char1 Char Char Char Char,Footnote Text Char2 Char Char Char Char"/>
    <w:basedOn w:val="DefaultParagraphFont"/>
    <w:semiHidden/>
    <w:locked/>
    <w:rsid w:val="00CA6592"/>
    <w:rPr>
      <w:rFonts w:eastAsia="Times New Roman"/>
      <w:sz w:val="22"/>
    </w:rPr>
  </w:style>
  <w:style w:type="paragraph" w:customStyle="1" w:styleId="Paranum0">
    <w:name w:val="Paranum"/>
    <w:basedOn w:val="Normal"/>
    <w:rsid w:val="00CA6592"/>
    <w:pPr>
      <w:numPr>
        <w:numId w:val="10"/>
      </w:numPr>
      <w:tabs>
        <w:tab w:val="clear" w:pos="1080"/>
      </w:tabs>
      <w:spacing w:after="220" w:line="259" w:lineRule="auto"/>
      <w:jc w:val="both"/>
    </w:pPr>
    <w:rPr>
      <w:rFonts w:asciiTheme="minorHAnsi" w:eastAsiaTheme="minorHAnsi" w:hAnsiTheme="minorHAnsi" w:cstheme="minorBidi"/>
      <w:snapToGrid/>
      <w:kern w:val="2"/>
      <w:szCs w:val="22"/>
      <w14:ligatures w14:val="standardContextual"/>
    </w:rPr>
  </w:style>
  <w:style w:type="paragraph" w:customStyle="1" w:styleId="Default">
    <w:name w:val="Default"/>
    <w:rsid w:val="00A2066D"/>
    <w:pPr>
      <w:autoSpaceDE w:val="0"/>
      <w:autoSpaceDN w:val="0"/>
      <w:adjustRightInd w:val="0"/>
    </w:pPr>
    <w:rPr>
      <w:color w:val="000000"/>
      <w:sz w:val="24"/>
      <w:szCs w:val="24"/>
    </w:rPr>
  </w:style>
  <w:style w:type="character" w:customStyle="1" w:styleId="costarpage">
    <w:name w:val="co_starpage"/>
    <w:basedOn w:val="DefaultParagraphFont"/>
    <w:rsid w:val="00F330FB"/>
  </w:style>
  <w:style w:type="paragraph" w:styleId="ListParagraph">
    <w:name w:val="List Paragraph"/>
    <w:basedOn w:val="Normal"/>
    <w:uiPriority w:val="34"/>
    <w:qFormat/>
    <w:rsid w:val="007E2248"/>
    <w:pPr>
      <w:widowControl/>
      <w:ind w:left="720"/>
      <w:contextualSpacing/>
    </w:pPr>
    <w:rPr>
      <w:snapToGrid/>
      <w:kern w:val="0"/>
    </w:rPr>
  </w:style>
  <w:style w:type="character" w:customStyle="1" w:styleId="documentbody1">
    <w:name w:val="documentbody1"/>
    <w:basedOn w:val="DefaultParagraphFont"/>
    <w:rsid w:val="007E2248"/>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docs/daily-digest" TargetMode="External" /><Relationship Id="rId6" Type="http://schemas.openxmlformats.org/officeDocument/2006/relationships/hyperlink" Target="mailto:James.Bradshaw@fcc.gov" TargetMode="External" /><Relationship Id="rId7" Type="http://schemas.openxmlformats.org/officeDocument/2006/relationships/hyperlink" Target="mailto:Alexander.Sanjenis@fcc.gov" TargetMode="External" /><Relationship Id="rId8" Type="http://schemas.openxmlformats.org/officeDocument/2006/relationships/hyperlink" Target="mailto:Amy.Vandekerckhove@fcc.gov" TargetMode="External" /><Relationship Id="rId9" Type="http://schemas.openxmlformats.org/officeDocument/2006/relationships/hyperlink" Target="mailto:Lisa.Scanl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